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8BF" w:rsidRPr="001551AF" w:rsidRDefault="00F158BF" w:rsidP="00E51CAE">
      <w:pPr>
        <w:pStyle w:val="Heading2"/>
        <w:spacing w:before="0" w:after="0"/>
        <w:rPr>
          <w:rFonts w:ascii="Times New Roman" w:hAnsi="Times New Roman" w:cs="Times New Roman"/>
          <w:i w:val="0"/>
          <w:iCs w:val="0"/>
          <w:sz w:val="24"/>
          <w:szCs w:val="24"/>
        </w:rPr>
      </w:pPr>
      <w:r w:rsidRPr="001551AF">
        <w:rPr>
          <w:rFonts w:ascii="Times New Roman" w:hAnsi="Times New Roman" w:cs="Times New Roman"/>
          <w:i w:val="0"/>
          <w:iCs w:val="0"/>
          <w:sz w:val="24"/>
          <w:szCs w:val="24"/>
        </w:rPr>
        <w:t xml:space="preserve">CONSEIL SUPERIEUR DE </w:t>
      </w:r>
      <w:smartTag w:uri="urn:schemas-microsoft-com:office:smarttags" w:element="PersonName">
        <w:smartTagPr>
          <w:attr w:name="ProductID" w:val="LA FONCTION PUBLIQUE"/>
        </w:smartTagPr>
        <w:r w:rsidRPr="001551AF">
          <w:rPr>
            <w:rFonts w:ascii="Times New Roman" w:hAnsi="Times New Roman" w:cs="Times New Roman"/>
            <w:i w:val="0"/>
            <w:iCs w:val="0"/>
            <w:sz w:val="24"/>
            <w:szCs w:val="24"/>
          </w:rPr>
          <w:t>LA FONCTION PUBLIQUE</w:t>
        </w:r>
      </w:smartTag>
      <w:r w:rsidRPr="001551AF">
        <w:rPr>
          <w:rFonts w:ascii="Times New Roman" w:hAnsi="Times New Roman" w:cs="Times New Roman"/>
          <w:i w:val="0"/>
          <w:iCs w:val="0"/>
          <w:sz w:val="24"/>
          <w:szCs w:val="24"/>
        </w:rPr>
        <w:t xml:space="preserve"> DE L’ETAT</w:t>
      </w:r>
    </w:p>
    <w:p w:rsidR="00F158BF" w:rsidRDefault="00F158BF" w:rsidP="00E51CAE">
      <w:pPr>
        <w:pStyle w:val="BodyText2"/>
        <w:jc w:val="center"/>
      </w:pPr>
    </w:p>
    <w:p w:rsidR="00F158BF" w:rsidRDefault="00F158BF" w:rsidP="00E51CAE">
      <w:pPr>
        <w:pStyle w:val="BodyText2"/>
        <w:jc w:val="center"/>
      </w:pPr>
      <w:r>
        <w:t>Commission statutaire du 26 mars</w:t>
      </w:r>
    </w:p>
    <w:p w:rsidR="00F158BF" w:rsidRDefault="00F158BF" w:rsidP="00E51CAE">
      <w:pPr>
        <w:pStyle w:val="BodyText2"/>
        <w:jc w:val="center"/>
      </w:pPr>
      <w:r>
        <w:t>---------</w:t>
      </w:r>
    </w:p>
    <w:p w:rsidR="00F158BF" w:rsidRPr="006715EB" w:rsidRDefault="00F158BF" w:rsidP="00E51CAE">
      <w:pPr>
        <w:pStyle w:val="BodyText2"/>
        <w:jc w:val="center"/>
      </w:pPr>
      <w:r w:rsidRPr="006715EB">
        <w:t>Dispositions de nature statutaire</w:t>
      </w:r>
    </w:p>
    <w:p w:rsidR="00F158BF" w:rsidRDefault="00F158BF" w:rsidP="00E51CAE">
      <w:pPr>
        <w:pStyle w:val="BodyText2"/>
        <w:jc w:val="center"/>
      </w:pPr>
      <w:r>
        <w:t>---------</w:t>
      </w:r>
    </w:p>
    <w:p w:rsidR="00F158BF" w:rsidRPr="00FC74E1" w:rsidRDefault="00F158BF" w:rsidP="00E51CAE">
      <w:pPr>
        <w:ind w:right="-1"/>
        <w:jc w:val="center"/>
      </w:pPr>
    </w:p>
    <w:p w:rsidR="00F158BF" w:rsidRPr="00FC74E1" w:rsidRDefault="00F158BF" w:rsidP="00E51CAE">
      <w:pPr>
        <w:ind w:right="-1"/>
        <w:jc w:val="center"/>
      </w:pPr>
      <w:r w:rsidRPr="00FC74E1">
        <w:t xml:space="preserve">Ministère </w:t>
      </w:r>
      <w:r>
        <w:t>de l’éducation nationale, de la jeunesse et de la vie associative</w:t>
      </w:r>
    </w:p>
    <w:p w:rsidR="00F158BF" w:rsidRDefault="00F158BF" w:rsidP="00E51CAE">
      <w:pPr>
        <w:rPr>
          <w:b/>
        </w:rPr>
      </w:pPr>
    </w:p>
    <w:p w:rsidR="00F158BF" w:rsidRDefault="00F158BF" w:rsidP="006715EB">
      <w:pPr>
        <w:jc w:val="center"/>
        <w:rPr>
          <w:b/>
        </w:rPr>
      </w:pPr>
      <w:r>
        <w:rPr>
          <w:b/>
        </w:rPr>
        <w:t>Projet de décret portant dispositions statuaires relatives à l’appréciation et à la reconnaissance de la valeur professionnelle de certains personnels enseignants, d’éducation et d’orientation relevant du ministre chargé de l’éducation nationale</w:t>
      </w:r>
    </w:p>
    <w:p w:rsidR="00F158BF" w:rsidRDefault="00F158BF" w:rsidP="006715EB">
      <w:pPr>
        <w:jc w:val="center"/>
        <w:rPr>
          <w:b/>
        </w:rPr>
      </w:pPr>
    </w:p>
    <w:p w:rsidR="00F158BF" w:rsidRDefault="00F158BF" w:rsidP="006715EB">
      <w:pPr>
        <w:jc w:val="center"/>
        <w:rPr>
          <w:b/>
        </w:rPr>
      </w:pPr>
    </w:p>
    <w:p w:rsidR="00F158BF" w:rsidRPr="00723EF6" w:rsidRDefault="00F158BF" w:rsidP="00711BAC">
      <w:pPr>
        <w:spacing w:after="240"/>
        <w:jc w:val="both"/>
      </w:pPr>
      <w:r w:rsidRPr="00723EF6">
        <w:t>Le décret en Conseil d’Etat</w:t>
      </w:r>
      <w:r>
        <w:t xml:space="preserve"> qui vous est soumis</w:t>
      </w:r>
      <w:r w:rsidRPr="00723EF6">
        <w:t xml:space="preserve"> modifie les statuts particuliers régissant les corps de certains personnels enseignants, d’éducation et d’orientation</w:t>
      </w:r>
      <w:r>
        <w:t xml:space="preserve"> qui relève</w:t>
      </w:r>
      <w:r w:rsidRPr="00723EF6">
        <w:t xml:space="preserve">nt du ministre chargé de l’éducation nationale. </w:t>
      </w:r>
    </w:p>
    <w:p w:rsidR="00F158BF" w:rsidRPr="00723EF6" w:rsidRDefault="00F158BF" w:rsidP="00711BAC">
      <w:pPr>
        <w:spacing w:after="120"/>
        <w:jc w:val="both"/>
      </w:pPr>
      <w:r w:rsidRPr="00723EF6">
        <w:t>Les modifications statutaires apportées par le présent décret procède</w:t>
      </w:r>
      <w:r>
        <w:t>nt</w:t>
      </w:r>
      <w:r w:rsidRPr="00723EF6">
        <w:t xml:space="preserve"> à la réforme du système de l’appréciation et de la reconnaissance de la valeur professionnelle des person</w:t>
      </w:r>
      <w:r>
        <w:t>nels concernés, laquelle</w:t>
      </w:r>
      <w:r w:rsidRPr="00723EF6">
        <w:t xml:space="preserve"> constitue l’un des volets du « pacte de carrière » annoncé par le Gouvernement en octobre 2009 et visant à améliorer les conditions d’exercice du métier d’enseignant dans le cadre d’une gestion plus dynamique et personnalisée des ressources humaines.</w:t>
      </w:r>
    </w:p>
    <w:p w:rsidR="00F158BF" w:rsidRDefault="00F158BF" w:rsidP="003E46ED">
      <w:pPr>
        <w:tabs>
          <w:tab w:val="left" w:pos="540"/>
        </w:tabs>
        <w:spacing w:after="240"/>
        <w:jc w:val="both"/>
      </w:pPr>
      <w:r w:rsidRPr="00723EF6">
        <w:t>Les spécificités propres au ministère chargé de l’éducation nationale</w:t>
      </w:r>
      <w:r>
        <w:t>,</w:t>
      </w:r>
      <w:r w:rsidRPr="00723EF6">
        <w:t xml:space="preserve"> </w:t>
      </w:r>
      <w:r>
        <w:t>tenant notamment à l’effectif et aux fonctions des personnels enseignants, d’éducation et d’orientation</w:t>
      </w:r>
      <w:r w:rsidRPr="00723EF6">
        <w:t xml:space="preserve"> qu’il emploie</w:t>
      </w:r>
      <w:r>
        <w:t>, conduisent</w:t>
      </w:r>
      <w:r w:rsidRPr="00723EF6">
        <w:t xml:space="preserve"> à la définition d’un dispositif juridique pr</w:t>
      </w:r>
      <w:r>
        <w:t>opre à ces personnels.</w:t>
      </w:r>
    </w:p>
    <w:p w:rsidR="00F158BF" w:rsidRDefault="00F158BF" w:rsidP="00711BAC">
      <w:pPr>
        <w:tabs>
          <w:tab w:val="left" w:pos="540"/>
        </w:tabs>
        <w:spacing w:after="120"/>
        <w:jc w:val="both"/>
      </w:pPr>
      <w:r>
        <w:t>Ainsi, l</w:t>
      </w:r>
      <w:r w:rsidRPr="00723EF6">
        <w:t>e décret modifie chaque statut particulier pour mettre fin au système de notation au profit d’un dispositif d’appréciation de la valeur professionnelle fondé sur</w:t>
      </w:r>
      <w:r>
        <w:t xml:space="preserve"> la conduite, par le supérieur hiérarchique direct et selon des modalités précisées par arrêté ministériel, d’</w:t>
      </w:r>
      <w:r w:rsidRPr="00723EF6">
        <w:t>un entretien professionnel triennal.</w:t>
      </w:r>
      <w:r>
        <w:t xml:space="preserve"> </w:t>
      </w:r>
      <w:r w:rsidRPr="00723EF6">
        <w:t xml:space="preserve"> </w:t>
      </w:r>
    </w:p>
    <w:p w:rsidR="00F158BF" w:rsidRPr="00C32D24" w:rsidRDefault="00F158BF" w:rsidP="00C32D24">
      <w:pPr>
        <w:tabs>
          <w:tab w:val="left" w:pos="540"/>
        </w:tabs>
        <w:spacing w:after="120"/>
        <w:jc w:val="both"/>
      </w:pPr>
      <w:r w:rsidRPr="00C32D24">
        <w:t>La mise en œuvre d’un e</w:t>
      </w:r>
      <w:r>
        <w:t>ntretien professionnel selon cette</w:t>
      </w:r>
      <w:r w:rsidRPr="00C32D24">
        <w:t xml:space="preserve"> périodicité déroge aux dispositions de l’article 55 de la loi</w:t>
      </w:r>
      <w:r>
        <w:t xml:space="preserve"> n° 84-16</w:t>
      </w:r>
      <w:r w:rsidRPr="00C32D24">
        <w:t xml:space="preserve"> du 11 janvier 1984</w:t>
      </w:r>
      <w:r>
        <w:t xml:space="preserve"> portant dispositions statutaires relatives à la fonction publique de l’Etat,</w:t>
      </w:r>
      <w:r w:rsidRPr="00C32D24">
        <w:t xml:space="preserve"> lesquelles prévoient en effet la conduite d’un entretien annuel.</w:t>
      </w:r>
    </w:p>
    <w:p w:rsidR="00F158BF" w:rsidRDefault="00F158BF" w:rsidP="004140AC">
      <w:pPr>
        <w:pStyle w:val="Intgralebase"/>
        <w:spacing w:after="120"/>
        <w:jc w:val="both"/>
        <w:outlineLvl w:val="0"/>
        <w:rPr>
          <w:rFonts w:ascii="Times New Roman" w:hAnsi="Times New Roman"/>
          <w:sz w:val="24"/>
          <w:szCs w:val="24"/>
        </w:rPr>
      </w:pPr>
      <w:r>
        <w:rPr>
          <w:rFonts w:ascii="Times New Roman" w:hAnsi="Times New Roman"/>
          <w:sz w:val="24"/>
          <w:szCs w:val="24"/>
        </w:rPr>
        <w:t>Cette dérogation est fondée sur l’article 10 de la même loi qui autorise les statuts particuliers des corps concernés</w:t>
      </w:r>
      <w:r w:rsidRPr="004140AC">
        <w:rPr>
          <w:rFonts w:ascii="Times New Roman" w:hAnsi="Times New Roman"/>
          <w:sz w:val="24"/>
          <w:szCs w:val="24"/>
        </w:rPr>
        <w:t xml:space="preserve"> à déroger</w:t>
      </w:r>
      <w:r>
        <w:rPr>
          <w:rFonts w:ascii="Times New Roman" w:hAnsi="Times New Roman"/>
          <w:sz w:val="24"/>
          <w:szCs w:val="24"/>
        </w:rPr>
        <w:t>, après avis du Conseil supérieur de la fonction publique de l’Etat,</w:t>
      </w:r>
      <w:r w:rsidRPr="004140AC">
        <w:rPr>
          <w:rFonts w:ascii="Times New Roman" w:hAnsi="Times New Roman"/>
          <w:sz w:val="24"/>
          <w:szCs w:val="24"/>
        </w:rPr>
        <w:t xml:space="preserve"> à certaines dispositions du sta</w:t>
      </w:r>
      <w:r>
        <w:rPr>
          <w:rFonts w:ascii="Times New Roman" w:hAnsi="Times New Roman"/>
          <w:sz w:val="24"/>
          <w:szCs w:val="24"/>
        </w:rPr>
        <w:t>tut général</w:t>
      </w:r>
      <w:r w:rsidRPr="004140AC">
        <w:rPr>
          <w:rFonts w:ascii="Times New Roman" w:hAnsi="Times New Roman"/>
          <w:sz w:val="24"/>
          <w:szCs w:val="24"/>
        </w:rPr>
        <w:t xml:space="preserve"> lorsque les dispositions en cause ne correspondent pas aux besoins propres de ces corps.</w:t>
      </w:r>
    </w:p>
    <w:p w:rsidR="00F158BF" w:rsidRPr="004140AC" w:rsidRDefault="00F158BF" w:rsidP="00FC286F">
      <w:pPr>
        <w:tabs>
          <w:tab w:val="left" w:pos="540"/>
        </w:tabs>
        <w:spacing w:after="240"/>
        <w:jc w:val="both"/>
      </w:pPr>
      <w:r>
        <w:t>A cet égard, la périodicité triennale est adaptée pour apprécier la valeur professionnelle des personnels enseignants d’éducation et d’orientation au regard des fonctions d’ordre pédagogique et au contact des élèves qu’ils exercent. En outre, elle se révèle appropriée eu égard aux effectifs des personnels dont la valeur professionnelle est à apprécier et de ceux des personnels en charge de cette appréciation.</w:t>
      </w:r>
    </w:p>
    <w:p w:rsidR="00F158BF" w:rsidRPr="00723EF6" w:rsidRDefault="00F158BF" w:rsidP="00711BAC">
      <w:pPr>
        <w:tabs>
          <w:tab w:val="left" w:pos="540"/>
        </w:tabs>
        <w:spacing w:after="120"/>
        <w:jc w:val="both"/>
      </w:pPr>
      <w:r w:rsidRPr="00723EF6">
        <w:t>Par ailleurs,</w:t>
      </w:r>
      <w:r>
        <w:t xml:space="preserve"> le décret modifie en profondeur</w:t>
      </w:r>
      <w:r w:rsidRPr="00723EF6">
        <w:t xml:space="preserve"> les modalités et grilles d’avancement d’échelon du premier grade ou classe des différents corps concer</w:t>
      </w:r>
      <w:r>
        <w:t>nés</w:t>
      </w:r>
      <w:r w:rsidRPr="00723EF6">
        <w:t xml:space="preserve">. En effet, le système d’avancement multi cadencé existant (au grand choix, au choix, à l’ancienneté) est remplacé par un dispositif d’attribution de réductions ou de majorations d’ancienneté par rapport à l’ancienneté moyenne exigée de chacun des statuts particuliers pour accéder d’un échelon à l’échelon supérieur. </w:t>
      </w:r>
    </w:p>
    <w:p w:rsidR="00F158BF" w:rsidRDefault="00F158BF" w:rsidP="00711BAC">
      <w:pPr>
        <w:tabs>
          <w:tab w:val="left" w:pos="540"/>
        </w:tabs>
        <w:spacing w:after="120"/>
        <w:jc w:val="both"/>
      </w:pPr>
      <w:r w:rsidRPr="00E77557">
        <w:t>Au vu de l’appréciation de leur valeur professionnelle, les personnels enseignants</w:t>
      </w:r>
      <w:r>
        <w:t>, d’éducation et d’orientation</w:t>
      </w:r>
      <w:r w:rsidRPr="00E77557">
        <w:t xml:space="preserve"> peuvent bénéficier de réductions d’ancienneté de deux ou cinq mois par année scolaire dans le respect du contingent global de mois pour un effectif de cent agents à répartir fixé statutairement (256 mois pour 100 agents pour le corps des professeurs certifiés et les corps assimilés). Le nombre de mois de réduction est alloué annuellement au titre de chacune des années scolair</w:t>
      </w:r>
      <w:r>
        <w:t>es précédant</w:t>
      </w:r>
      <w:r w:rsidRPr="00E77557">
        <w:t xml:space="preserve"> la prochaine campagne d’avancement d’échelon. Compte tenu de la situation particulière des grilles d’avancement des personnels enseignants</w:t>
      </w:r>
      <w:r>
        <w:t>, d’éducation et d’orientation</w:t>
      </w:r>
      <w:r w:rsidRPr="00E77557">
        <w:t>, des modalités particulières de conservation du bénéfice des réductions d’ancienneté entre les différents échelons sont prévues.</w:t>
      </w:r>
    </w:p>
    <w:p w:rsidR="00F158BF" w:rsidRDefault="00F158BF" w:rsidP="00711BAC">
      <w:pPr>
        <w:spacing w:after="120"/>
        <w:jc w:val="both"/>
      </w:pPr>
      <w:r w:rsidRPr="009C459A">
        <w:t>Des majorations d’ancienne</w:t>
      </w:r>
      <w:r>
        <w:t>té peuvent être appliquées, dans la limite de deux mois maximum par agent entre deux campagnes d’avancement, à l’égard de personnels dont l’insuffisance de la valeur professionnelle, révélée lors d’un entretien professionnel avec pour effet l’engagement de mesures d’accompagnement appropriées en vue d’une amélioration de leurs résultats professionnels, est confirmée lors de l’entretien professionnel suivant.</w:t>
      </w:r>
    </w:p>
    <w:p w:rsidR="00F158BF" w:rsidRDefault="00F158BF" w:rsidP="00711BAC">
      <w:pPr>
        <w:spacing w:after="120"/>
        <w:jc w:val="both"/>
      </w:pPr>
      <w:r>
        <w:t>Les personnels qui ne font l’objet d’aucune réduction ou majoration d’ancienneté avancent selon le rythme de l’ancienneté moyenne fixée statutairement.</w:t>
      </w:r>
    </w:p>
    <w:p w:rsidR="00F158BF" w:rsidRPr="00723EF6" w:rsidRDefault="00F158BF" w:rsidP="00711BAC">
      <w:pPr>
        <w:tabs>
          <w:tab w:val="left" w:pos="540"/>
        </w:tabs>
        <w:spacing w:after="120"/>
        <w:jc w:val="both"/>
      </w:pPr>
      <w:r w:rsidRPr="00723EF6">
        <w:t>Les réductions ou majoration d’ancienneté sont attribuées sur décision notifiée de l’autorité hiérarchique compétente (recteur d’académie ou ministre) après avis de la commission administrative paritaire compétente. L’allocation des réductions d’ancienneté est établie en fonction des propositions formulées par les supérieurs hiérarchiques</w:t>
      </w:r>
      <w:r>
        <w:t>.</w:t>
      </w:r>
    </w:p>
    <w:p w:rsidR="00F158BF" w:rsidRPr="00723EF6" w:rsidRDefault="00F158BF" w:rsidP="00711BAC">
      <w:pPr>
        <w:tabs>
          <w:tab w:val="left" w:pos="540"/>
        </w:tabs>
        <w:spacing w:after="120"/>
        <w:jc w:val="both"/>
      </w:pPr>
      <w:r w:rsidRPr="00723EF6">
        <w:t>Enfin, des dispositions spécifiques en faveur des personnels nouvellement titularisés ou détachés dans l’un des corps enseignants</w:t>
      </w:r>
      <w:r>
        <w:t>, d’éducation et d’orientation</w:t>
      </w:r>
      <w:r w:rsidRPr="00723EF6">
        <w:t xml:space="preserve"> sont prévues au regard de la prise en compte de l’appréciation de leur valeur professionnelle et de ses modalités pour l’avancement d’échelon. Ainsi, le décret prévoit l’intervention d’un premier entretien professionnel au titre de l’évaluation des activités couvrant leur première année d’exercice en qualité de fonctionnaire titulaire ou détaché, entretien au vu duquel des réductions d’ancienneté peuvent leur être appliquées au titre de chacune des années scolaires précédant leur prochaine campagne d’appréciation de la valeur professionnelle et d’avancement correspondant à celle de l’ensemble des personnels de leur corps et grade d’appartenance. </w:t>
      </w:r>
    </w:p>
    <w:p w:rsidR="00F158BF" w:rsidRPr="00723EF6" w:rsidRDefault="00F158BF" w:rsidP="00711BAC">
      <w:pPr>
        <w:spacing w:after="120"/>
        <w:jc w:val="both"/>
      </w:pPr>
      <w:r w:rsidRPr="00723EF6">
        <w:t>L’entrée en vigueur de la réforme est prévue de façon progressive et échelonnée en fonction des corps et grades d’appartenance des personnels. Cette modalité d’entrée en vigueur différée est justifiée par la nécessaire adéquation entre les effectifs importants des personnels</w:t>
      </w:r>
      <w:r>
        <w:t xml:space="preserve"> </w:t>
      </w:r>
      <w:r w:rsidRPr="00723EF6">
        <w:t>dont la valeur professionnelle est à apprécier et ceux des personnels en charge de cette appréciation.</w:t>
      </w:r>
    </w:p>
    <w:p w:rsidR="00F158BF" w:rsidRPr="00005283" w:rsidRDefault="00F158BF" w:rsidP="00711BAC">
      <w:pPr>
        <w:spacing w:after="120"/>
        <w:jc w:val="both"/>
      </w:pPr>
      <w:r w:rsidRPr="00005283">
        <w:t>Le dispositif est ainsi applicable aux évaluations afférente aux activités postérieures au 1er septembre 2012 pour les conseillers principaux d’éducation, les professeurs certifiés hors classe et les professeurs de lycée professionnel pour lesquels un premier entretien professionnel, susceptible de donner lieu à</w:t>
      </w:r>
      <w:r>
        <w:t xml:space="preserve"> l’attribution de</w:t>
      </w:r>
      <w:r w:rsidRPr="00005283">
        <w:t xml:space="preserve"> réductions d’ancienneté pour les agents concernés, est organisé en 2013 au titre de l’évaluation des activités couvrant l’année scolaire </w:t>
      </w:r>
      <w:smartTag w:uri="urn:schemas-microsoft-com:office:smarttags" w:element="phone">
        <w:smartTagPr>
          <w:attr w:uri="urn:schemas-microsoft-com:office:office" w:name="ls" w:val="trans"/>
        </w:smartTagPr>
        <w:r w:rsidRPr="00005283">
          <w:t>2012-2013</w:t>
        </w:r>
      </w:smartTag>
      <w:r w:rsidRPr="00005283">
        <w:t xml:space="preserve">. L’année de ce premier entretien détermine celle des entretiens ultérieurs organisés tous les trois ans pour l’ensemble de ces mêmes personnels (2016, 2019, 2022…). </w:t>
      </w:r>
    </w:p>
    <w:p w:rsidR="00F158BF" w:rsidRDefault="00F158BF" w:rsidP="00162FF9">
      <w:pPr>
        <w:spacing w:after="240"/>
        <w:jc w:val="both"/>
      </w:pPr>
      <w:r w:rsidRPr="00723EF6">
        <w:t>L’entrée en vigueur de la réforme, selon les mêmes modalités, est fixée au 1</w:t>
      </w:r>
      <w:r w:rsidRPr="00723EF6">
        <w:rPr>
          <w:vertAlign w:val="superscript"/>
        </w:rPr>
        <w:t>er</w:t>
      </w:r>
      <w:r w:rsidRPr="00723EF6">
        <w:t xml:space="preserve"> septembre 2013 pour les professeurs certifiés de classe normale, les adjoints d’’enseignement et les personnels enseignants du premier degré et au 1</w:t>
      </w:r>
      <w:r w:rsidRPr="00723EF6">
        <w:rPr>
          <w:vertAlign w:val="superscript"/>
        </w:rPr>
        <w:t>er</w:t>
      </w:r>
      <w:r w:rsidRPr="00723EF6">
        <w:t xml:space="preserve"> septembre 2014 pour les personnels relevant des autres corps et grades.</w:t>
      </w:r>
    </w:p>
    <w:sectPr w:rsidR="00F158BF" w:rsidSect="00E51CAE">
      <w:headerReference w:type="default" r:id="rId7"/>
      <w:footerReference w:type="even" r:id="rId8"/>
      <w:footerReference w:type="default" r:id="rId9"/>
      <w:pgSz w:w="11906" w:h="16838"/>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8BF" w:rsidRDefault="00F158BF">
      <w:r>
        <w:separator/>
      </w:r>
    </w:p>
  </w:endnote>
  <w:endnote w:type="continuationSeparator" w:id="0">
    <w:p w:rsidR="00F158BF" w:rsidRDefault="00F158B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8BF" w:rsidRDefault="00F158BF" w:rsidP="00E51C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158BF" w:rsidRDefault="00F158B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8BF" w:rsidRDefault="00F158BF" w:rsidP="00E51CA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158BF" w:rsidRDefault="00F158B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8BF" w:rsidRDefault="00F158BF">
      <w:r>
        <w:separator/>
      </w:r>
    </w:p>
  </w:footnote>
  <w:footnote w:type="continuationSeparator" w:id="0">
    <w:p w:rsidR="00F158BF" w:rsidRDefault="00F158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8BF" w:rsidRPr="00216411" w:rsidRDefault="00F158BF" w:rsidP="00E51CAE">
    <w:pPr>
      <w:pStyle w:val="Header"/>
      <w:rPr>
        <w:i/>
        <w:i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84382"/>
    <w:multiLevelType w:val="multilevel"/>
    <w:tmpl w:val="5BC885FE"/>
    <w:styleLink w:val="StyleAvecpuces11ptGras"/>
    <w:lvl w:ilvl="0">
      <w:start w:val="1"/>
      <w:numFmt w:val="bullet"/>
      <w:lvlText w:val=""/>
      <w:lvlJc w:val="left"/>
      <w:pPr>
        <w:tabs>
          <w:tab w:val="num" w:pos="720"/>
        </w:tabs>
        <w:ind w:left="720" w:hanging="360"/>
      </w:pPr>
      <w:rPr>
        <w:rFonts w:ascii="Wingdings" w:hAnsi="Wingdings" w:hint="default"/>
        <w:b/>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40A2"/>
    <w:rsid w:val="00005283"/>
    <w:rsid w:val="00050D69"/>
    <w:rsid w:val="000C1238"/>
    <w:rsid w:val="001551AF"/>
    <w:rsid w:val="00162FF9"/>
    <w:rsid w:val="00171630"/>
    <w:rsid w:val="001B0310"/>
    <w:rsid w:val="001B2BDE"/>
    <w:rsid w:val="001F0120"/>
    <w:rsid w:val="00216411"/>
    <w:rsid w:val="00253DFA"/>
    <w:rsid w:val="00354074"/>
    <w:rsid w:val="003E46ED"/>
    <w:rsid w:val="0040357F"/>
    <w:rsid w:val="004140AC"/>
    <w:rsid w:val="004B75D8"/>
    <w:rsid w:val="004E2847"/>
    <w:rsid w:val="0060335A"/>
    <w:rsid w:val="006346E6"/>
    <w:rsid w:val="00642954"/>
    <w:rsid w:val="006454E3"/>
    <w:rsid w:val="00651176"/>
    <w:rsid w:val="006715EB"/>
    <w:rsid w:val="006A2DC2"/>
    <w:rsid w:val="00711BAC"/>
    <w:rsid w:val="00723EF6"/>
    <w:rsid w:val="007F40A2"/>
    <w:rsid w:val="00867410"/>
    <w:rsid w:val="00914D3D"/>
    <w:rsid w:val="009B10EE"/>
    <w:rsid w:val="009C459A"/>
    <w:rsid w:val="009E1788"/>
    <w:rsid w:val="00A36879"/>
    <w:rsid w:val="00AD00EA"/>
    <w:rsid w:val="00AE2DAD"/>
    <w:rsid w:val="00BB311B"/>
    <w:rsid w:val="00BF04A2"/>
    <w:rsid w:val="00C32D24"/>
    <w:rsid w:val="00C4677B"/>
    <w:rsid w:val="00CC52BB"/>
    <w:rsid w:val="00D1438B"/>
    <w:rsid w:val="00D62BFF"/>
    <w:rsid w:val="00DF4FA2"/>
    <w:rsid w:val="00E51CAE"/>
    <w:rsid w:val="00E52AB4"/>
    <w:rsid w:val="00E540F5"/>
    <w:rsid w:val="00E574D9"/>
    <w:rsid w:val="00E77557"/>
    <w:rsid w:val="00F158BF"/>
    <w:rsid w:val="00F66905"/>
    <w:rsid w:val="00F84067"/>
    <w:rsid w:val="00FB01E2"/>
    <w:rsid w:val="00FC286F"/>
    <w:rsid w:val="00FC74E1"/>
    <w:rsid w:val="00FD47AF"/>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hone"/>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footnote reference" w:unhideWhenUsed="0"/>
    <w:lsdException w:name="page number" w:unhideWhenUsed="0"/>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CAE"/>
    <w:rPr>
      <w:sz w:val="24"/>
      <w:szCs w:val="24"/>
    </w:rPr>
  </w:style>
  <w:style w:type="paragraph" w:styleId="Heading2">
    <w:name w:val="heading 2"/>
    <w:basedOn w:val="Normal"/>
    <w:next w:val="Normal"/>
    <w:link w:val="Heading2Char"/>
    <w:autoRedefine/>
    <w:uiPriority w:val="99"/>
    <w:qFormat/>
    <w:rsid w:val="00E51CAE"/>
    <w:pPr>
      <w:keepNext/>
      <w:spacing w:before="240" w:after="60"/>
      <w:jc w:val="center"/>
      <w:outlineLvl w:val="1"/>
    </w:pPr>
    <w:rPr>
      <w:rFonts w:ascii="Arial" w:hAnsi="Arial" w:cs="Arial"/>
      <w:b/>
      <w:bCs/>
      <w:i/>
      <w:iCs/>
      <w:sz w:val="28"/>
      <w:szCs w:val="28"/>
    </w:rPr>
  </w:style>
  <w:style w:type="character" w:default="1" w:styleId="DefaultParagraphFont">
    <w:name w:val="Default Paragraph Font"/>
    <w:aliases w:val="Car Car2 Car"/>
    <w:link w:val="CarCar2"/>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CD72D2"/>
    <w:rPr>
      <w:rFonts w:asciiTheme="majorHAnsi" w:eastAsiaTheme="majorEastAsia" w:hAnsiTheme="majorHAnsi" w:cstheme="majorBidi"/>
      <w:b/>
      <w:bCs/>
      <w:i/>
      <w:iCs/>
      <w:sz w:val="28"/>
      <w:szCs w:val="28"/>
    </w:rPr>
  </w:style>
  <w:style w:type="character" w:customStyle="1" w:styleId="Style2">
    <w:name w:val="Style 2"/>
    <w:basedOn w:val="DefaultParagraphFont"/>
    <w:uiPriority w:val="99"/>
    <w:rsid w:val="00D1438B"/>
    <w:rPr>
      <w:rFonts w:ascii="Arial" w:hAnsi="Arial" w:cs="Times New Roman"/>
      <w:b/>
      <w:bCs/>
      <w:smallCaps/>
      <w:sz w:val="22"/>
      <w:szCs w:val="22"/>
      <w:u w:val="single"/>
    </w:rPr>
  </w:style>
  <w:style w:type="character" w:styleId="FootnoteReference">
    <w:name w:val="footnote reference"/>
    <w:aliases w:val="Style 5"/>
    <w:basedOn w:val="DefaultParagraphFont"/>
    <w:uiPriority w:val="99"/>
    <w:semiHidden/>
    <w:rsid w:val="00D1438B"/>
    <w:rPr>
      <w:rFonts w:ascii="Arial" w:hAnsi="Arial" w:cs="Times New Roman"/>
      <w:sz w:val="18"/>
      <w:szCs w:val="18"/>
      <w:vertAlign w:val="superscript"/>
    </w:rPr>
  </w:style>
  <w:style w:type="character" w:customStyle="1" w:styleId="Style">
    <w:name w:val="Style"/>
    <w:basedOn w:val="FootnoteReference"/>
    <w:uiPriority w:val="99"/>
    <w:rsid w:val="00A36879"/>
  </w:style>
  <w:style w:type="paragraph" w:customStyle="1" w:styleId="Style20">
    <w:name w:val="Style2"/>
    <w:basedOn w:val="Normal"/>
    <w:autoRedefine/>
    <w:uiPriority w:val="99"/>
    <w:rsid w:val="00A36879"/>
    <w:pPr>
      <w:spacing w:after="600"/>
    </w:pPr>
    <w:rPr>
      <w:rFonts w:ascii="Arial" w:hAnsi="Arial"/>
      <w:b/>
      <w:i/>
      <w:sz w:val="26"/>
      <w:szCs w:val="26"/>
    </w:rPr>
  </w:style>
  <w:style w:type="paragraph" w:styleId="BodyText">
    <w:name w:val="Body Text"/>
    <w:basedOn w:val="Normal"/>
    <w:link w:val="BodyTextChar1"/>
    <w:uiPriority w:val="99"/>
    <w:rsid w:val="00E51CAE"/>
    <w:pPr>
      <w:spacing w:after="120"/>
    </w:pPr>
  </w:style>
  <w:style w:type="character" w:customStyle="1" w:styleId="BodyTextChar">
    <w:name w:val="Body Text Char"/>
    <w:basedOn w:val="DefaultParagraphFont"/>
    <w:link w:val="BodyText"/>
    <w:uiPriority w:val="99"/>
    <w:semiHidden/>
    <w:rsid w:val="00CD72D2"/>
    <w:rPr>
      <w:sz w:val="24"/>
      <w:szCs w:val="24"/>
    </w:rPr>
  </w:style>
  <w:style w:type="paragraph" w:customStyle="1" w:styleId="SNNature">
    <w:name w:val="SNNature"/>
    <w:basedOn w:val="Normal"/>
    <w:autoRedefine/>
    <w:uiPriority w:val="99"/>
    <w:rsid w:val="00E51CAE"/>
    <w:pPr>
      <w:widowControl w:val="0"/>
      <w:suppressLineNumbers/>
      <w:suppressAutoHyphens/>
      <w:spacing w:before="240" w:after="120"/>
      <w:jc w:val="center"/>
    </w:pPr>
    <w:rPr>
      <w:b/>
      <w:bCs/>
      <w:lang/>
    </w:rPr>
  </w:style>
  <w:style w:type="character" w:customStyle="1" w:styleId="SNenProjet">
    <w:name w:val="SNenProjet"/>
    <w:basedOn w:val="DefaultParagraphFont"/>
    <w:uiPriority w:val="99"/>
    <w:rsid w:val="00E51CAE"/>
    <w:rPr>
      <w:rFonts w:cs="Times New Roman"/>
    </w:rPr>
  </w:style>
  <w:style w:type="paragraph" w:styleId="Header">
    <w:name w:val="header"/>
    <w:basedOn w:val="Normal"/>
    <w:link w:val="HeaderChar"/>
    <w:uiPriority w:val="99"/>
    <w:rsid w:val="00E51CAE"/>
    <w:pPr>
      <w:tabs>
        <w:tab w:val="center" w:pos="4536"/>
        <w:tab w:val="right" w:pos="9072"/>
      </w:tabs>
    </w:pPr>
  </w:style>
  <w:style w:type="character" w:customStyle="1" w:styleId="HeaderChar">
    <w:name w:val="Header Char"/>
    <w:basedOn w:val="DefaultParagraphFont"/>
    <w:link w:val="Header"/>
    <w:uiPriority w:val="99"/>
    <w:semiHidden/>
    <w:rsid w:val="00CD72D2"/>
    <w:rPr>
      <w:sz w:val="24"/>
      <w:szCs w:val="24"/>
    </w:rPr>
  </w:style>
  <w:style w:type="paragraph" w:styleId="Footer">
    <w:name w:val="footer"/>
    <w:basedOn w:val="Normal"/>
    <w:link w:val="FooterChar"/>
    <w:uiPriority w:val="99"/>
    <w:rsid w:val="00E51CAE"/>
    <w:pPr>
      <w:tabs>
        <w:tab w:val="center" w:pos="4536"/>
        <w:tab w:val="right" w:pos="9072"/>
      </w:tabs>
    </w:pPr>
  </w:style>
  <w:style w:type="character" w:customStyle="1" w:styleId="FooterChar">
    <w:name w:val="Footer Char"/>
    <w:basedOn w:val="DefaultParagraphFont"/>
    <w:link w:val="Footer"/>
    <w:uiPriority w:val="99"/>
    <w:semiHidden/>
    <w:rsid w:val="00CD72D2"/>
    <w:rPr>
      <w:sz w:val="24"/>
      <w:szCs w:val="24"/>
    </w:rPr>
  </w:style>
  <w:style w:type="character" w:styleId="PageNumber">
    <w:name w:val="page number"/>
    <w:basedOn w:val="DefaultParagraphFont"/>
    <w:uiPriority w:val="99"/>
    <w:rsid w:val="00E51CAE"/>
    <w:rPr>
      <w:rFonts w:cs="Times New Roman"/>
    </w:rPr>
  </w:style>
  <w:style w:type="paragraph" w:styleId="BodyText2">
    <w:name w:val="Body Text 2"/>
    <w:basedOn w:val="Normal"/>
    <w:link w:val="BodyText2Char"/>
    <w:uiPriority w:val="99"/>
    <w:rsid w:val="00E51CAE"/>
    <w:pPr>
      <w:spacing w:after="120"/>
      <w:ind w:left="283"/>
    </w:pPr>
  </w:style>
  <w:style w:type="character" w:customStyle="1" w:styleId="BodyText2Char">
    <w:name w:val="Body Text 2 Char"/>
    <w:basedOn w:val="DefaultParagraphFont"/>
    <w:link w:val="BodyText2"/>
    <w:uiPriority w:val="99"/>
    <w:semiHidden/>
    <w:rsid w:val="00CD72D2"/>
    <w:rPr>
      <w:sz w:val="24"/>
      <w:szCs w:val="24"/>
    </w:rPr>
  </w:style>
  <w:style w:type="character" w:customStyle="1" w:styleId="BodyTextChar1">
    <w:name w:val="Body Text Char1"/>
    <w:basedOn w:val="DefaultParagraphFont"/>
    <w:link w:val="BodyText"/>
    <w:uiPriority w:val="99"/>
    <w:semiHidden/>
    <w:rsid w:val="00E51CAE"/>
    <w:rPr>
      <w:rFonts w:cs="Times New Roman"/>
      <w:sz w:val="24"/>
      <w:szCs w:val="24"/>
      <w:lang w:val="fr-FR" w:eastAsia="fr-FR" w:bidi="ar-SA"/>
    </w:rPr>
  </w:style>
  <w:style w:type="character" w:customStyle="1" w:styleId="SNNumroLoi">
    <w:name w:val="SNNuméroLoi"/>
    <w:basedOn w:val="DefaultParagraphFont"/>
    <w:uiPriority w:val="99"/>
    <w:rsid w:val="00E51CAE"/>
    <w:rPr>
      <w:rFonts w:cs="Times New Roman"/>
    </w:rPr>
  </w:style>
  <w:style w:type="paragraph" w:customStyle="1" w:styleId="CarCar2">
    <w:name w:val="Car Car2"/>
    <w:basedOn w:val="Normal"/>
    <w:link w:val="DefaultParagraphFont"/>
    <w:autoRedefine/>
    <w:uiPriority w:val="99"/>
    <w:rsid w:val="00E51CAE"/>
    <w:pPr>
      <w:suppressAutoHyphens/>
      <w:spacing w:after="160" w:line="240" w:lineRule="exact"/>
      <w:jc w:val="both"/>
    </w:pPr>
    <w:rPr>
      <w:rFonts w:ascii="Verdana" w:hAnsi="Verdana" w:cs="Verdana"/>
      <w:sz w:val="22"/>
      <w:szCs w:val="20"/>
      <w:lang w:val="en-US" w:eastAsia="ar-SA"/>
    </w:rPr>
  </w:style>
  <w:style w:type="paragraph" w:customStyle="1" w:styleId="CarCar">
    <w:name w:val="Car Car"/>
    <w:basedOn w:val="Normal"/>
    <w:uiPriority w:val="99"/>
    <w:rsid w:val="00E51CAE"/>
    <w:pPr>
      <w:spacing w:after="160" w:line="240" w:lineRule="exact"/>
    </w:pPr>
    <w:rPr>
      <w:rFonts w:ascii="Verdana" w:hAnsi="Verdana" w:cs="Verdana"/>
      <w:sz w:val="22"/>
      <w:szCs w:val="20"/>
      <w:lang w:val="en-US" w:eastAsia="en-US"/>
    </w:rPr>
  </w:style>
  <w:style w:type="paragraph" w:customStyle="1" w:styleId="Intgralebase">
    <w:name w:val="Intégrale_base"/>
    <w:link w:val="IntgralebaseCar"/>
    <w:uiPriority w:val="99"/>
    <w:rsid w:val="00BB311B"/>
    <w:pPr>
      <w:spacing w:line="280" w:lineRule="exact"/>
    </w:pPr>
    <w:rPr>
      <w:rFonts w:ascii="Arial" w:hAnsi="Arial"/>
      <w:sz w:val="20"/>
      <w:szCs w:val="20"/>
    </w:rPr>
  </w:style>
  <w:style w:type="character" w:customStyle="1" w:styleId="IntgralebaseCar">
    <w:name w:val="Intégrale_base Car"/>
    <w:basedOn w:val="DefaultParagraphFont"/>
    <w:link w:val="Intgralebase"/>
    <w:uiPriority w:val="99"/>
    <w:rsid w:val="006715EB"/>
    <w:rPr>
      <w:rFonts w:ascii="Arial" w:eastAsia="Times New Roman" w:hAnsi="Arial" w:cs="Times New Roman"/>
      <w:lang w:val="fr-FR" w:eastAsia="fr-FR" w:bidi="ar-SA"/>
    </w:rPr>
  </w:style>
  <w:style w:type="character" w:styleId="Strong">
    <w:name w:val="Strong"/>
    <w:basedOn w:val="DefaultParagraphFont"/>
    <w:uiPriority w:val="99"/>
    <w:qFormat/>
    <w:rsid w:val="006715EB"/>
    <w:rPr>
      <w:rFonts w:cs="Times New Roman"/>
      <w:b/>
      <w:bCs/>
    </w:rPr>
  </w:style>
  <w:style w:type="numbering" w:customStyle="1" w:styleId="StyleAvecpuces11ptGras">
    <w:name w:val="Style Avec puces 11 pt Gras"/>
    <w:rsid w:val="00CD72D2"/>
    <w:pPr>
      <w:numPr>
        <w:numId w:val="1"/>
      </w:numPr>
    </w:pPr>
  </w:style>
</w:styles>
</file>

<file path=word/webSettings.xml><?xml version="1.0" encoding="utf-8"?>
<w:webSettings xmlns:r="http://schemas.openxmlformats.org/officeDocument/2006/relationships" xmlns:w="http://schemas.openxmlformats.org/wordprocessingml/2006/main">
  <w:divs>
    <w:div w:id="11652485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Pages>
  <Words>1093</Words>
  <Characters>6012</Characters>
  <Application>Microsoft Office Outlook</Application>
  <DocSecurity>0</DocSecurity>
  <Lines>0</Lines>
  <Paragraphs>0</Paragraphs>
  <ScaleCrop>false</ScaleCrop>
  <Company>SPM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CONSEIL SUPERIEUR DE LA FONCTION PUBLIQUE DE L’ETAT</dc:title>
  <dc:subject/>
  <dc:creator>SPM</dc:creator>
  <cp:keywords/>
  <dc:description/>
  <cp:lastModifiedBy>vemarchal-adc</cp:lastModifiedBy>
  <cp:revision>2</cp:revision>
  <cp:lastPrinted>2011-04-12T08:53:00Z</cp:lastPrinted>
  <dcterms:created xsi:type="dcterms:W3CDTF">2012-03-09T13:18:00Z</dcterms:created>
  <dcterms:modified xsi:type="dcterms:W3CDTF">2012-03-09T13:18:00Z</dcterms:modified>
</cp:coreProperties>
</file>