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EEF" w:rsidRDefault="00323EEF" w:rsidP="0070288C">
      <w:pPr>
        <w:pStyle w:val="En-tte"/>
        <w:tabs>
          <w:tab w:val="left" w:pos="0"/>
        </w:tabs>
        <w:jc w:val="both"/>
        <w:rPr>
          <w:rFonts w:ascii="Arial" w:hAnsi="Arial" w:cs="Arial"/>
          <w:b/>
          <w:bCs/>
          <w:color w:val="FFFFFF"/>
          <w:sz w:val="36"/>
          <w:szCs w:val="36"/>
          <w:shd w:val="clear" w:color="auto" w:fill="1F497D"/>
        </w:rPr>
      </w:pPr>
      <w:r>
        <w:rPr>
          <w:rFonts w:ascii="Arial" w:hAnsi="Arial" w:cs="Arial"/>
          <w:b/>
          <w:bCs/>
          <w:color w:val="FFFFFF"/>
          <w:sz w:val="36"/>
          <w:szCs w:val="36"/>
          <w:shd w:val="clear" w:color="auto" w:fill="1F497D"/>
        </w:rPr>
        <w:t xml:space="preserve">Séquence </w:t>
      </w:r>
      <w:r w:rsidRPr="00673E96">
        <w:rPr>
          <w:rFonts w:ascii="Arial" w:hAnsi="Arial" w:cs="Arial"/>
          <w:b/>
          <w:bCs/>
          <w:color w:val="FFFFFF"/>
          <w:sz w:val="36"/>
          <w:szCs w:val="36"/>
          <w:shd w:val="clear" w:color="auto" w:fill="1F497D"/>
        </w:rPr>
        <w:t xml:space="preserve">1 -  </w:t>
      </w:r>
      <w:r>
        <w:rPr>
          <w:rFonts w:ascii="Arial" w:hAnsi="Arial" w:cs="Arial"/>
          <w:b/>
          <w:bCs/>
          <w:color w:val="FFFFFF"/>
          <w:sz w:val="36"/>
          <w:szCs w:val="36"/>
          <w:shd w:val="clear" w:color="auto" w:fill="1F497D"/>
        </w:rPr>
        <w:t>Rénover et simplifier l’architecture statutaire</w:t>
      </w:r>
    </w:p>
    <w:p w:rsidR="00323EEF" w:rsidRDefault="00323EEF" w:rsidP="0070288C">
      <w:pPr>
        <w:pStyle w:val="En-tte"/>
        <w:tabs>
          <w:tab w:val="clear" w:pos="4536"/>
          <w:tab w:val="clear" w:pos="9072"/>
          <w:tab w:val="left" w:pos="0"/>
        </w:tabs>
        <w:rPr>
          <w:b/>
          <w:bCs/>
          <w:color w:val="FFFFFF"/>
          <w:sz w:val="28"/>
          <w:szCs w:val="28"/>
          <w:shd w:val="clear" w:color="auto" w:fill="1F497D"/>
        </w:rPr>
      </w:pPr>
    </w:p>
    <w:p w:rsidR="00323EEF" w:rsidRDefault="00323EEF" w:rsidP="0070288C">
      <w:pPr>
        <w:pStyle w:val="En-tte"/>
        <w:tabs>
          <w:tab w:val="clear" w:pos="4536"/>
          <w:tab w:val="clear" w:pos="9072"/>
          <w:tab w:val="left" w:pos="0"/>
        </w:tabs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  <w:t>Fiche n°4 : Les mécanismes d’avancement au sein d’un grade dans la fonction publique</w:t>
      </w:r>
    </w:p>
    <w:p w:rsidR="00323EEF" w:rsidRPr="002348EC" w:rsidRDefault="00323EEF" w:rsidP="0070288C">
      <w:pPr>
        <w:pStyle w:val="En-tte"/>
        <w:tabs>
          <w:tab w:val="clear" w:pos="4536"/>
          <w:tab w:val="clear" w:pos="9072"/>
          <w:tab w:val="left" w:pos="0"/>
        </w:tabs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2F3AC4" w:rsidRPr="00F3692F" w:rsidRDefault="002F3AC4" w:rsidP="007705F6">
      <w:pPr>
        <w:pStyle w:val="Paragraphedeliste"/>
        <w:numPr>
          <w:ilvl w:val="0"/>
          <w:numId w:val="1"/>
        </w:numPr>
        <w:pBdr>
          <w:bottom w:val="single" w:sz="12" w:space="1" w:color="1F497D"/>
        </w:pBdr>
        <w:ind w:left="567" w:hanging="567"/>
        <w:rPr>
          <w:rFonts w:ascii="Arial" w:hAnsi="Arial" w:cs="Arial"/>
          <w:b/>
          <w:bCs/>
          <w:color w:val="1F497D"/>
          <w:sz w:val="28"/>
          <w:szCs w:val="28"/>
        </w:rPr>
      </w:pPr>
      <w:r>
        <w:rPr>
          <w:rFonts w:ascii="Arial" w:hAnsi="Arial" w:cs="Arial"/>
          <w:b/>
          <w:bCs/>
          <w:color w:val="1F497D"/>
          <w:sz w:val="28"/>
          <w:szCs w:val="28"/>
        </w:rPr>
        <w:t>ETAT DES LIEUX</w:t>
      </w:r>
    </w:p>
    <w:p w:rsidR="000E5349" w:rsidRPr="007705F6" w:rsidRDefault="00230B7F" w:rsidP="007705F6">
      <w:pPr>
        <w:pStyle w:val="En-tte"/>
        <w:numPr>
          <w:ilvl w:val="0"/>
          <w:numId w:val="21"/>
        </w:numPr>
        <w:tabs>
          <w:tab w:val="clear" w:pos="4536"/>
          <w:tab w:val="clear" w:pos="9072"/>
          <w:tab w:val="left" w:pos="284"/>
        </w:tabs>
        <w:spacing w:after="200"/>
        <w:ind w:left="0" w:firstLine="0"/>
        <w:jc w:val="both"/>
        <w:rPr>
          <w:b/>
        </w:rPr>
      </w:pPr>
      <w:r w:rsidRPr="007705F6">
        <w:rPr>
          <w:b/>
        </w:rPr>
        <w:t>L</w:t>
      </w:r>
      <w:r w:rsidR="009455BF" w:rsidRPr="007705F6">
        <w:rPr>
          <w:b/>
        </w:rPr>
        <w:t xml:space="preserve">es titres </w:t>
      </w:r>
      <w:r w:rsidR="000E5349" w:rsidRPr="007705F6">
        <w:rPr>
          <w:b/>
        </w:rPr>
        <w:t xml:space="preserve">II, III et IV du statut général des fonctionnaires </w:t>
      </w:r>
      <w:r w:rsidR="00EF1FD0" w:rsidRPr="007705F6">
        <w:rPr>
          <w:b/>
        </w:rPr>
        <w:t>fixent</w:t>
      </w:r>
      <w:r w:rsidR="000E5349" w:rsidRPr="007705F6">
        <w:rPr>
          <w:b/>
        </w:rPr>
        <w:t xml:space="preserve"> chacun</w:t>
      </w:r>
      <w:r w:rsidR="008734D4" w:rsidRPr="007705F6">
        <w:rPr>
          <w:b/>
        </w:rPr>
        <w:t xml:space="preserve"> pour principe que l’avancement d’échelon est à la fois fonction de l’ancienneté et de la valeur professionnelle</w:t>
      </w:r>
      <w:r w:rsidR="000E5349" w:rsidRPr="007705F6">
        <w:rPr>
          <w:b/>
        </w:rPr>
        <w:t xml:space="preserve"> des agents</w:t>
      </w:r>
      <w:r w:rsidR="00962873" w:rsidRPr="007705F6">
        <w:rPr>
          <w:b/>
        </w:rPr>
        <w:t>.</w:t>
      </w:r>
    </w:p>
    <w:p w:rsidR="00962873" w:rsidRDefault="00962873" w:rsidP="007705F6">
      <w:pPr>
        <w:pStyle w:val="En-tte"/>
        <w:tabs>
          <w:tab w:val="clear" w:pos="4536"/>
          <w:tab w:val="clear" w:pos="9072"/>
          <w:tab w:val="left" w:pos="284"/>
        </w:tabs>
        <w:spacing w:after="200"/>
        <w:jc w:val="both"/>
      </w:pPr>
      <w:r>
        <w:t xml:space="preserve">Cet outil statutaire </w:t>
      </w:r>
      <w:r w:rsidR="00CC18C1">
        <w:t>doit donc permettre</w:t>
      </w:r>
      <w:r w:rsidR="0071359E">
        <w:t xml:space="preserve"> </w:t>
      </w:r>
      <w:r w:rsidR="00CC18C1">
        <w:t xml:space="preserve">de reconnaître à la fois </w:t>
      </w:r>
      <w:r>
        <w:t>l’</w:t>
      </w:r>
      <w:r w:rsidR="00CC18C1">
        <w:t xml:space="preserve">expérience professionnelle acquise au titre de l’ancienneté de services dans le grade et la </w:t>
      </w:r>
      <w:r w:rsidR="00323EEF">
        <w:t>valeur professionnelle</w:t>
      </w:r>
      <w:r w:rsidR="00CC18C1">
        <w:t xml:space="preserve"> des agents.</w:t>
      </w:r>
    </w:p>
    <w:p w:rsidR="00CC18C1" w:rsidRDefault="0071359E" w:rsidP="007705F6">
      <w:pPr>
        <w:pStyle w:val="En-tte"/>
        <w:tabs>
          <w:tab w:val="clear" w:pos="4536"/>
          <w:tab w:val="clear" w:pos="9072"/>
          <w:tab w:val="left" w:pos="284"/>
        </w:tabs>
        <w:spacing w:after="200"/>
        <w:jc w:val="both"/>
      </w:pPr>
      <w:r>
        <w:t xml:space="preserve">Le fait qu’un même outil statutaire </w:t>
      </w:r>
      <w:r w:rsidR="009472FF">
        <w:t>repose sur la combinaison de deux critères</w:t>
      </w:r>
      <w:r>
        <w:t xml:space="preserve"> distincts a sans doute contribué à affaiblir la lisibilité de ce dispositif.</w:t>
      </w:r>
    </w:p>
    <w:p w:rsidR="0071359E" w:rsidRDefault="00411B36" w:rsidP="007705F6">
      <w:pPr>
        <w:pStyle w:val="En-tte"/>
        <w:tabs>
          <w:tab w:val="clear" w:pos="4536"/>
          <w:tab w:val="clear" w:pos="9072"/>
          <w:tab w:val="left" w:pos="284"/>
        </w:tabs>
        <w:spacing w:after="200"/>
        <w:jc w:val="both"/>
      </w:pPr>
      <w:r>
        <w:t>En pratique</w:t>
      </w:r>
      <w:r w:rsidR="0071359E">
        <w:t xml:space="preserve">, </w:t>
      </w:r>
      <w:r w:rsidR="009472FF">
        <w:t>la mise en œuvre</w:t>
      </w:r>
      <w:r w:rsidR="005121C9">
        <w:t xml:space="preserve"> </w:t>
      </w:r>
      <w:r w:rsidR="009472FF">
        <w:t xml:space="preserve">de cet outil par les administrations publiques semble </w:t>
      </w:r>
      <w:r>
        <w:t xml:space="preserve">s’être détournée de l’objectif initial </w:t>
      </w:r>
      <w:r w:rsidR="009472FF">
        <w:t>:</w:t>
      </w:r>
    </w:p>
    <w:p w:rsidR="009472FF" w:rsidRDefault="009472FF" w:rsidP="007705F6">
      <w:pPr>
        <w:pStyle w:val="En-tte"/>
        <w:numPr>
          <w:ilvl w:val="0"/>
          <w:numId w:val="11"/>
        </w:numPr>
        <w:tabs>
          <w:tab w:val="clear" w:pos="4536"/>
          <w:tab w:val="clear" w:pos="9072"/>
          <w:tab w:val="left" w:pos="284"/>
        </w:tabs>
        <w:spacing w:after="200"/>
        <w:jc w:val="both"/>
      </w:pPr>
      <w:r>
        <w:t>Dans la fonction publique de l’Etat : les modalités de répartition du</w:t>
      </w:r>
      <w:bookmarkStart w:id="0" w:name="_GoBack"/>
      <w:bookmarkEnd w:id="0"/>
      <w:r>
        <w:t xml:space="preserve"> contingent de réductions d’ancienneté </w:t>
      </w:r>
      <w:r w:rsidR="005121C9">
        <w:t>fixées</w:t>
      </w:r>
      <w:r>
        <w:t xml:space="preserve"> par le décret </w:t>
      </w:r>
      <w:r w:rsidR="00DF37B5">
        <w:t>n°</w:t>
      </w:r>
      <w:r w:rsidR="00DA1B22">
        <w:t xml:space="preserve"> </w:t>
      </w:r>
      <w:r w:rsidR="00DF37B5">
        <w:t xml:space="preserve">2010-888 du </w:t>
      </w:r>
      <w:r w:rsidR="00266DB0">
        <w:t xml:space="preserve">28 juillet 2010 </w:t>
      </w:r>
      <w:r w:rsidR="005121C9">
        <w:t>n’ont pu empêcher un</w:t>
      </w:r>
      <w:r w:rsidR="00DA1B22">
        <w:t>e</w:t>
      </w:r>
      <w:r w:rsidR="005121C9">
        <w:t xml:space="preserve"> </w:t>
      </w:r>
      <w:r w:rsidR="00DA1B22">
        <w:t xml:space="preserve">utilisation </w:t>
      </w:r>
      <w:r w:rsidR="005121C9">
        <w:t xml:space="preserve">du dispositif par certaines administrations, conduisant </w:t>
      </w:r>
      <w:r w:rsidR="00967D1E">
        <w:t>à l’attribution uniforme d’un mois de réduction à l’ensemble des agents, les 10 % d’agents non bénéficiaires correspondant le plus souvent au flux d’agents entrants et sortants au cours de l’année de référence.</w:t>
      </w:r>
      <w:r w:rsidR="00503648">
        <w:t xml:space="preserve"> Il en est de même dans la fonction publique hospitalière.</w:t>
      </w:r>
    </w:p>
    <w:p w:rsidR="000C5ADC" w:rsidRDefault="00967D1E" w:rsidP="007705F6">
      <w:pPr>
        <w:pStyle w:val="En-tte"/>
        <w:numPr>
          <w:ilvl w:val="0"/>
          <w:numId w:val="11"/>
        </w:numPr>
        <w:tabs>
          <w:tab w:val="clear" w:pos="4536"/>
          <w:tab w:val="clear" w:pos="9072"/>
          <w:tab w:val="left" w:pos="284"/>
        </w:tabs>
        <w:spacing w:after="200"/>
        <w:jc w:val="both"/>
      </w:pPr>
      <w:r>
        <w:t xml:space="preserve">Dans la fonction publique territoriale : les collectivités pratiquant une véritable modulation des durées d’avancement – entre les bornages que constituent </w:t>
      </w:r>
      <w:r w:rsidR="00A94D5B">
        <w:t xml:space="preserve">l’avancement à la durée minimale et l’avancement à la durée maximale – restent </w:t>
      </w:r>
      <w:r w:rsidR="007434A3">
        <w:t xml:space="preserve">très </w:t>
      </w:r>
      <w:r w:rsidR="00A94D5B">
        <w:t>minoritaires.</w:t>
      </w:r>
      <w:r w:rsidR="00020C7A">
        <w:t xml:space="preserve"> </w:t>
      </w:r>
    </w:p>
    <w:p w:rsidR="00A94D5B" w:rsidRDefault="00A94D5B" w:rsidP="007705F6">
      <w:pPr>
        <w:pStyle w:val="En-tte"/>
        <w:tabs>
          <w:tab w:val="clear" w:pos="4536"/>
          <w:tab w:val="clear" w:pos="9072"/>
          <w:tab w:val="left" w:pos="284"/>
        </w:tabs>
        <w:spacing w:after="200"/>
        <w:jc w:val="both"/>
      </w:pPr>
      <w:r>
        <w:t xml:space="preserve">L’évolution de l’architecture statutaire </w:t>
      </w:r>
      <w:r w:rsidR="008F357F">
        <w:t>de la fonction publique de l’Etat</w:t>
      </w:r>
      <w:r w:rsidR="00020C7A">
        <w:t xml:space="preserve">, </w:t>
      </w:r>
      <w:r w:rsidR="001816CA">
        <w:t>avec la montée en puissance</w:t>
      </w:r>
      <w:r w:rsidR="008F357F">
        <w:t xml:space="preserve"> des corps interministériels à gestion ministérielle pour lesquels le Conseil d’Etat a admis </w:t>
      </w:r>
      <w:r w:rsidR="001816CA">
        <w:t xml:space="preserve">que les statuts particuliers puissent </w:t>
      </w:r>
      <w:r w:rsidR="004D1425">
        <w:t xml:space="preserve">déroger à certaines dispositions du statut général </w:t>
      </w:r>
      <w:r w:rsidR="00020C7A">
        <w:t>(c</w:t>
      </w:r>
      <w:r w:rsidR="007434A3">
        <w:t xml:space="preserve">’est le cas de la mise en place </w:t>
      </w:r>
      <w:r w:rsidR="00020C7A">
        <w:t xml:space="preserve">au sein de ces corps </w:t>
      </w:r>
      <w:r w:rsidR="007434A3">
        <w:t xml:space="preserve">du cadencement unique d’avancement d’échelon justifié par la pluralité des pôles de </w:t>
      </w:r>
      <w:r w:rsidR="00020C7A">
        <w:t>gestion</w:t>
      </w:r>
      <w:r w:rsidR="002D1172">
        <w:t xml:space="preserve">) conduit </w:t>
      </w:r>
      <w:r w:rsidR="00020C7A">
        <w:t xml:space="preserve">d’ores et déjà à </w:t>
      </w:r>
      <w:r w:rsidR="002D1172">
        <w:t>l’abandon</w:t>
      </w:r>
      <w:r w:rsidR="00020C7A">
        <w:t xml:space="preserve"> </w:t>
      </w:r>
      <w:r w:rsidR="002D1172">
        <w:t xml:space="preserve">pour un nombre croissant d’agents de l’avancement d’échelon comme outil de motivation et de reconnaissance </w:t>
      </w:r>
      <w:r w:rsidR="00323EEF">
        <w:t>de la valeur professionnelle</w:t>
      </w:r>
      <w:r w:rsidR="002D1172">
        <w:t>.</w:t>
      </w:r>
    </w:p>
    <w:p w:rsidR="00EC3D3F" w:rsidRPr="007705F6" w:rsidRDefault="00B7340B" w:rsidP="007705F6">
      <w:pPr>
        <w:pStyle w:val="En-tte"/>
        <w:numPr>
          <w:ilvl w:val="0"/>
          <w:numId w:val="21"/>
        </w:numPr>
        <w:tabs>
          <w:tab w:val="clear" w:pos="4536"/>
          <w:tab w:val="clear" w:pos="9072"/>
          <w:tab w:val="left" w:pos="284"/>
        </w:tabs>
        <w:spacing w:after="200"/>
        <w:ind w:left="0" w:firstLine="0"/>
        <w:jc w:val="both"/>
        <w:rPr>
          <w:b/>
        </w:rPr>
      </w:pPr>
      <w:r w:rsidRPr="007705F6">
        <w:rPr>
          <w:b/>
        </w:rPr>
        <w:t xml:space="preserve">La </w:t>
      </w:r>
      <w:r w:rsidR="00EC3D3F" w:rsidRPr="007705F6">
        <w:rPr>
          <w:b/>
        </w:rPr>
        <w:t>structuration d</w:t>
      </w:r>
      <w:r w:rsidR="00B03471" w:rsidRPr="007705F6">
        <w:rPr>
          <w:b/>
        </w:rPr>
        <w:t xml:space="preserve">es grilles de rémunération </w:t>
      </w:r>
      <w:r w:rsidRPr="007705F6">
        <w:rPr>
          <w:b/>
        </w:rPr>
        <w:t xml:space="preserve">se traduit, à l’occasion des avancements d’échelon et de grade, par des gains qui ne sont pas nécessairement harmonisés. </w:t>
      </w:r>
    </w:p>
    <w:p w:rsidR="00AB088D" w:rsidRPr="00653EC1" w:rsidRDefault="00AB088D" w:rsidP="007705F6">
      <w:pPr>
        <w:pStyle w:val="Paragraphedeliste"/>
        <w:numPr>
          <w:ilvl w:val="0"/>
          <w:numId w:val="18"/>
        </w:numPr>
        <w:spacing w:line="240" w:lineRule="auto"/>
        <w:jc w:val="both"/>
        <w:rPr>
          <w:u w:val="single"/>
        </w:rPr>
      </w:pPr>
      <w:r w:rsidRPr="00653EC1">
        <w:rPr>
          <w:u w:val="single"/>
        </w:rPr>
        <w:t xml:space="preserve">Lors d’un </w:t>
      </w:r>
      <w:r w:rsidR="00653EC1" w:rsidRPr="00653EC1">
        <w:rPr>
          <w:u w:val="single"/>
        </w:rPr>
        <w:t>avancement d’échelon</w:t>
      </w:r>
      <w:r w:rsidRPr="00653EC1">
        <w:rPr>
          <w:u w:val="single"/>
        </w:rPr>
        <w:t> :</w:t>
      </w:r>
    </w:p>
    <w:p w:rsidR="007705F6" w:rsidRDefault="00AB088D" w:rsidP="007705F6">
      <w:pPr>
        <w:spacing w:line="240" w:lineRule="auto"/>
        <w:jc w:val="both"/>
      </w:pPr>
      <w:r>
        <w:t>L</w:t>
      </w:r>
      <w:r w:rsidR="00EC3D3F">
        <w:t xml:space="preserve">es gains indiciaires résultant d’un passage à l’échelon supérieur ou à un grade supérieur </w:t>
      </w:r>
      <w:r w:rsidR="00244FEF">
        <w:t>sont</w:t>
      </w:r>
      <w:r w:rsidR="00EC3D3F">
        <w:t xml:space="preserve"> les conséquences des évolutions des grilles et non de la reconnaissance de l’ancienneté de service au sein d’un corps</w:t>
      </w:r>
      <w:r w:rsidR="00323EEF">
        <w:t xml:space="preserve"> / cadre d’emploi</w:t>
      </w:r>
      <w:r w:rsidR="00EC3D3F">
        <w:t xml:space="preserve"> ou d’un grade.</w:t>
      </w:r>
    </w:p>
    <w:p w:rsidR="00EC3D3F" w:rsidRDefault="00EC3D3F" w:rsidP="007705F6">
      <w:pPr>
        <w:spacing w:line="240" w:lineRule="auto"/>
        <w:jc w:val="both"/>
      </w:pPr>
    </w:p>
    <w:p w:rsidR="00EC3D3F" w:rsidRDefault="001943D8" w:rsidP="007705F6">
      <w:pPr>
        <w:spacing w:line="240" w:lineRule="auto"/>
        <w:jc w:val="both"/>
      </w:pPr>
      <w:r>
        <w:lastRenderedPageBreak/>
        <w:t>Ainsi, le gain</w:t>
      </w:r>
      <w:r w:rsidR="00EC3D3F">
        <w:t xml:space="preserve"> indiciaire lors </w:t>
      </w:r>
      <w:r w:rsidR="00852D73">
        <w:t>d’un avancement à l’échelon</w:t>
      </w:r>
      <w:r w:rsidR="00EC3D3F">
        <w:t xml:space="preserve"> supérieur</w:t>
      </w:r>
      <w:r>
        <w:t xml:space="preserve"> peut varier dans des pr</w:t>
      </w:r>
      <w:r w:rsidR="00FB3446">
        <w:t xml:space="preserve">oportions </w:t>
      </w:r>
      <w:r w:rsidR="00323EEF">
        <w:t>très</w:t>
      </w:r>
      <w:r w:rsidR="00FB3446">
        <w:t xml:space="preserve"> importantes.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111"/>
        <w:gridCol w:w="905"/>
        <w:gridCol w:w="905"/>
        <w:gridCol w:w="905"/>
        <w:gridCol w:w="905"/>
        <w:gridCol w:w="909"/>
        <w:gridCol w:w="909"/>
        <w:gridCol w:w="909"/>
        <w:gridCol w:w="915"/>
        <w:gridCol w:w="915"/>
      </w:tblGrid>
      <w:tr w:rsidR="00244FEF" w:rsidTr="007705F6">
        <w:tc>
          <w:tcPr>
            <w:tcW w:w="1111" w:type="dxa"/>
          </w:tcPr>
          <w:p w:rsidR="00244FEF" w:rsidRDefault="00244FEF" w:rsidP="007705F6">
            <w:pPr>
              <w:spacing w:line="240" w:lineRule="auto"/>
              <w:jc w:val="both"/>
            </w:pPr>
          </w:p>
        </w:tc>
        <w:tc>
          <w:tcPr>
            <w:tcW w:w="3620" w:type="dxa"/>
            <w:gridSpan w:val="4"/>
          </w:tcPr>
          <w:p w:rsidR="00244FEF" w:rsidRDefault="00244FEF" w:rsidP="007705F6">
            <w:pPr>
              <w:spacing w:line="240" w:lineRule="auto"/>
              <w:jc w:val="center"/>
            </w:pPr>
            <w:r>
              <w:t>CAT. C</w:t>
            </w:r>
          </w:p>
        </w:tc>
        <w:tc>
          <w:tcPr>
            <w:tcW w:w="2727" w:type="dxa"/>
            <w:gridSpan w:val="3"/>
          </w:tcPr>
          <w:p w:rsidR="00244FEF" w:rsidRDefault="00244FEF" w:rsidP="007705F6">
            <w:pPr>
              <w:spacing w:line="240" w:lineRule="auto"/>
              <w:jc w:val="center"/>
            </w:pPr>
            <w:r>
              <w:t>CAT. B NES</w:t>
            </w:r>
          </w:p>
        </w:tc>
        <w:tc>
          <w:tcPr>
            <w:tcW w:w="1830" w:type="dxa"/>
            <w:gridSpan w:val="2"/>
          </w:tcPr>
          <w:p w:rsidR="00244FEF" w:rsidRDefault="00244FEF" w:rsidP="007705F6">
            <w:pPr>
              <w:spacing w:line="240" w:lineRule="auto"/>
              <w:jc w:val="center"/>
            </w:pPr>
            <w:r>
              <w:t>CAT A-type</w:t>
            </w:r>
          </w:p>
        </w:tc>
      </w:tr>
      <w:tr w:rsidR="00244FEF" w:rsidTr="007705F6">
        <w:tc>
          <w:tcPr>
            <w:tcW w:w="1111" w:type="dxa"/>
          </w:tcPr>
          <w:p w:rsidR="00244FEF" w:rsidRDefault="00244FEF" w:rsidP="007705F6">
            <w:pPr>
              <w:spacing w:line="240" w:lineRule="auto"/>
              <w:jc w:val="both"/>
            </w:pPr>
          </w:p>
        </w:tc>
        <w:tc>
          <w:tcPr>
            <w:tcW w:w="905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E3</w:t>
            </w:r>
          </w:p>
        </w:tc>
        <w:tc>
          <w:tcPr>
            <w:tcW w:w="905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E4</w:t>
            </w:r>
          </w:p>
        </w:tc>
        <w:tc>
          <w:tcPr>
            <w:tcW w:w="905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E5</w:t>
            </w:r>
          </w:p>
        </w:tc>
        <w:tc>
          <w:tcPr>
            <w:tcW w:w="905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E6</w:t>
            </w:r>
          </w:p>
        </w:tc>
        <w:tc>
          <w:tcPr>
            <w:tcW w:w="909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NES 1</w:t>
            </w:r>
          </w:p>
        </w:tc>
        <w:tc>
          <w:tcPr>
            <w:tcW w:w="909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NES 2</w:t>
            </w:r>
          </w:p>
        </w:tc>
        <w:tc>
          <w:tcPr>
            <w:tcW w:w="909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NES 3</w:t>
            </w:r>
          </w:p>
        </w:tc>
        <w:tc>
          <w:tcPr>
            <w:tcW w:w="915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1</w:t>
            </w:r>
            <w:r w:rsidRPr="00244FEF">
              <w:rPr>
                <w:vertAlign w:val="superscript"/>
              </w:rPr>
              <w:t>er</w:t>
            </w:r>
            <w:r>
              <w:t xml:space="preserve"> grade</w:t>
            </w:r>
          </w:p>
        </w:tc>
        <w:tc>
          <w:tcPr>
            <w:tcW w:w="915" w:type="dxa"/>
          </w:tcPr>
          <w:p w:rsidR="00244FEF" w:rsidRDefault="00244FEF" w:rsidP="007705F6">
            <w:pPr>
              <w:spacing w:line="240" w:lineRule="auto"/>
              <w:jc w:val="center"/>
            </w:pPr>
            <w:r>
              <w:t>2</w:t>
            </w:r>
            <w:r w:rsidRPr="00244FEF">
              <w:rPr>
                <w:vertAlign w:val="superscript"/>
              </w:rPr>
              <w:t>ème</w:t>
            </w:r>
            <w:r>
              <w:t xml:space="preserve"> grade</w:t>
            </w:r>
          </w:p>
        </w:tc>
      </w:tr>
      <w:tr w:rsidR="00EC3D3F" w:rsidTr="007705F6">
        <w:tc>
          <w:tcPr>
            <w:tcW w:w="1111" w:type="dxa"/>
          </w:tcPr>
          <w:p w:rsidR="00EC3D3F" w:rsidRDefault="00EC3D3F" w:rsidP="007705F6">
            <w:pPr>
              <w:spacing w:line="240" w:lineRule="auto"/>
              <w:jc w:val="both"/>
            </w:pPr>
            <w:r>
              <w:t xml:space="preserve">Gain </w:t>
            </w:r>
            <w:r w:rsidR="001943D8">
              <w:t>en IM minimum</w:t>
            </w:r>
          </w:p>
        </w:tc>
        <w:tc>
          <w:tcPr>
            <w:tcW w:w="90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90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90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90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7</w:t>
            </w:r>
          </w:p>
        </w:tc>
        <w:tc>
          <w:tcPr>
            <w:tcW w:w="909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909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909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91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11</w:t>
            </w:r>
          </w:p>
        </w:tc>
        <w:tc>
          <w:tcPr>
            <w:tcW w:w="91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34</w:t>
            </w:r>
          </w:p>
        </w:tc>
      </w:tr>
      <w:tr w:rsidR="00EC3D3F" w:rsidTr="007705F6">
        <w:tc>
          <w:tcPr>
            <w:tcW w:w="1111" w:type="dxa"/>
          </w:tcPr>
          <w:p w:rsidR="00EC3D3F" w:rsidRDefault="00EC3D3F" w:rsidP="007705F6">
            <w:pPr>
              <w:spacing w:line="240" w:lineRule="auto"/>
              <w:jc w:val="both"/>
            </w:pPr>
            <w:r>
              <w:t xml:space="preserve">Gain </w:t>
            </w:r>
            <w:r w:rsidR="001943D8">
              <w:t xml:space="preserve">en IM </w:t>
            </w:r>
            <w:r w:rsidR="00244FEF">
              <w:t>max</w:t>
            </w:r>
            <w:r w:rsidR="001943D8">
              <w:t>imum</w:t>
            </w:r>
          </w:p>
        </w:tc>
        <w:tc>
          <w:tcPr>
            <w:tcW w:w="90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90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14</w:t>
            </w:r>
          </w:p>
        </w:tc>
        <w:tc>
          <w:tcPr>
            <w:tcW w:w="90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16</w:t>
            </w:r>
          </w:p>
        </w:tc>
        <w:tc>
          <w:tcPr>
            <w:tcW w:w="90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26</w:t>
            </w:r>
          </w:p>
        </w:tc>
        <w:tc>
          <w:tcPr>
            <w:tcW w:w="909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23</w:t>
            </w:r>
          </w:p>
        </w:tc>
        <w:tc>
          <w:tcPr>
            <w:tcW w:w="909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24</w:t>
            </w:r>
          </w:p>
        </w:tc>
        <w:tc>
          <w:tcPr>
            <w:tcW w:w="909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25</w:t>
            </w:r>
          </w:p>
        </w:tc>
        <w:tc>
          <w:tcPr>
            <w:tcW w:w="91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42</w:t>
            </w:r>
          </w:p>
        </w:tc>
        <w:tc>
          <w:tcPr>
            <w:tcW w:w="915" w:type="dxa"/>
          </w:tcPr>
          <w:p w:rsidR="00EC3D3F" w:rsidRDefault="00244FEF" w:rsidP="007705F6">
            <w:pPr>
              <w:spacing w:line="240" w:lineRule="auto"/>
              <w:jc w:val="center"/>
            </w:pPr>
            <w:r>
              <w:t>49</w:t>
            </w:r>
          </w:p>
        </w:tc>
      </w:tr>
    </w:tbl>
    <w:p w:rsidR="0047143D" w:rsidRPr="007705F6" w:rsidRDefault="000A716A" w:rsidP="007705F6">
      <w:pPr>
        <w:spacing w:before="200" w:line="240" w:lineRule="auto"/>
        <w:jc w:val="both"/>
        <w:rPr>
          <w:b/>
        </w:rPr>
      </w:pPr>
      <w:r>
        <w:t xml:space="preserve">L’ancienneté dans le grade et </w:t>
      </w:r>
      <w:r w:rsidR="009369CA">
        <w:t xml:space="preserve">le </w:t>
      </w:r>
      <w:r>
        <w:t xml:space="preserve">gain indiciaire </w:t>
      </w:r>
      <w:r w:rsidR="0047143D">
        <w:t xml:space="preserve">à chaque </w:t>
      </w:r>
      <w:r w:rsidR="009369CA">
        <w:t xml:space="preserve">promotion </w:t>
      </w:r>
      <w:r w:rsidR="0047143D">
        <w:t xml:space="preserve">d’échelons </w:t>
      </w:r>
      <w:r>
        <w:t>ne sont</w:t>
      </w:r>
      <w:r w:rsidR="00AB088D">
        <w:t>, par ailleurs,</w:t>
      </w:r>
      <w:r>
        <w:t xml:space="preserve"> pas corrélés comme le </w:t>
      </w:r>
      <w:r w:rsidR="007705F6">
        <w:t xml:space="preserve">démontrent les schémas suivants qui </w:t>
      </w:r>
      <w:r w:rsidR="00522360">
        <w:t xml:space="preserve">retracent </w:t>
      </w:r>
      <w:r w:rsidR="00522360" w:rsidRPr="007705F6">
        <w:rPr>
          <w:b/>
        </w:rPr>
        <w:t>l’évolution d</w:t>
      </w:r>
      <w:r w:rsidR="00653EC1" w:rsidRPr="007705F6">
        <w:rPr>
          <w:b/>
        </w:rPr>
        <w:t>es</w:t>
      </w:r>
      <w:r w:rsidR="00522360" w:rsidRPr="007705F6">
        <w:rPr>
          <w:b/>
        </w:rPr>
        <w:t xml:space="preserve"> gain</w:t>
      </w:r>
      <w:r w:rsidR="00653EC1" w:rsidRPr="007705F6">
        <w:rPr>
          <w:b/>
        </w:rPr>
        <w:t>s</w:t>
      </w:r>
      <w:r w:rsidR="00522360" w:rsidRPr="007705F6">
        <w:rPr>
          <w:b/>
        </w:rPr>
        <w:t xml:space="preserve"> indiciaire</w:t>
      </w:r>
      <w:r w:rsidR="00653EC1" w:rsidRPr="007705F6">
        <w:rPr>
          <w:b/>
        </w:rPr>
        <w:t xml:space="preserve">s successifs </w:t>
      </w:r>
      <w:r w:rsidR="00522360" w:rsidRPr="007705F6">
        <w:rPr>
          <w:b/>
        </w:rPr>
        <w:t>(IM)</w:t>
      </w:r>
      <w:r w:rsidR="00C4780C" w:rsidRPr="007705F6">
        <w:rPr>
          <w:b/>
        </w:rPr>
        <w:t xml:space="preserve"> </w:t>
      </w:r>
      <w:r w:rsidR="001943D8" w:rsidRPr="007705F6">
        <w:rPr>
          <w:b/>
        </w:rPr>
        <w:t>obtenus lors des avancements d’échelons</w:t>
      </w:r>
      <w:r w:rsidR="00522360" w:rsidRPr="007705F6">
        <w:rPr>
          <w:b/>
        </w:rPr>
        <w:t xml:space="preserve"> en catégorie C</w:t>
      </w:r>
      <w:r w:rsidR="0047143D" w:rsidRPr="007705F6">
        <w:rPr>
          <w:b/>
        </w:rPr>
        <w:t>, en catégorie B (NES) et en catégorie A (A-type).</w:t>
      </w:r>
    </w:p>
    <w:p w:rsidR="0047143D" w:rsidRDefault="0047143D" w:rsidP="007705F6">
      <w:pPr>
        <w:spacing w:line="240" w:lineRule="auto"/>
        <w:jc w:val="center"/>
        <w:rPr>
          <w:u w:val="single"/>
        </w:rPr>
      </w:pPr>
      <w:r w:rsidRPr="0047143D">
        <w:rPr>
          <w:u w:val="single"/>
        </w:rPr>
        <w:t>Catégorie C</w:t>
      </w:r>
    </w:p>
    <w:p w:rsidR="0047143D" w:rsidRDefault="00C4780C" w:rsidP="007705F6">
      <w:pPr>
        <w:spacing w:line="240" w:lineRule="auto"/>
        <w:jc w:val="both"/>
      </w:pPr>
      <w:r>
        <w:rPr>
          <w:noProof/>
          <w:lang w:eastAsia="fr-FR"/>
        </w:rPr>
        <w:drawing>
          <wp:inline distT="0" distB="0" distL="0" distR="0" wp14:anchorId="7E3874DC" wp14:editId="56E80A97">
            <wp:extent cx="5810250" cy="2743200"/>
            <wp:effectExtent l="0" t="0" r="19050" b="1905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705F6" w:rsidRDefault="007705F6">
      <w:pPr>
        <w:spacing w:after="0" w:line="240" w:lineRule="auto"/>
        <w:rPr>
          <w:u w:val="single"/>
        </w:rPr>
      </w:pPr>
      <w:r>
        <w:rPr>
          <w:u w:val="single"/>
        </w:rPr>
        <w:br w:type="page"/>
      </w:r>
    </w:p>
    <w:p w:rsidR="00EC3D3F" w:rsidRPr="0047143D" w:rsidRDefault="0047143D" w:rsidP="007705F6">
      <w:pPr>
        <w:spacing w:line="240" w:lineRule="auto"/>
        <w:jc w:val="center"/>
        <w:rPr>
          <w:u w:val="single"/>
        </w:rPr>
      </w:pPr>
      <w:r w:rsidRPr="0047143D">
        <w:rPr>
          <w:u w:val="single"/>
        </w:rPr>
        <w:lastRenderedPageBreak/>
        <w:t>Catégorie B</w:t>
      </w:r>
    </w:p>
    <w:p w:rsidR="00522360" w:rsidRDefault="00BD5503" w:rsidP="007705F6">
      <w:pPr>
        <w:spacing w:line="240" w:lineRule="auto"/>
        <w:jc w:val="both"/>
      </w:pPr>
      <w:r>
        <w:rPr>
          <w:noProof/>
          <w:lang w:eastAsia="fr-FR"/>
        </w:rPr>
        <w:drawing>
          <wp:inline distT="0" distB="0" distL="0" distR="0" wp14:anchorId="1EEB27A3" wp14:editId="3E5C5774">
            <wp:extent cx="5810250" cy="3409950"/>
            <wp:effectExtent l="0" t="0" r="19050" b="19050"/>
            <wp:docPr id="14" name="Graphique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7143D" w:rsidRPr="0047143D" w:rsidRDefault="0047143D" w:rsidP="007705F6">
      <w:pPr>
        <w:spacing w:line="240" w:lineRule="auto"/>
        <w:jc w:val="center"/>
        <w:rPr>
          <w:u w:val="single"/>
        </w:rPr>
      </w:pPr>
      <w:r w:rsidRPr="0047143D">
        <w:rPr>
          <w:u w:val="single"/>
        </w:rPr>
        <w:t xml:space="preserve">Catégorie </w:t>
      </w:r>
      <w:r>
        <w:rPr>
          <w:u w:val="single"/>
        </w:rPr>
        <w:t>A</w:t>
      </w:r>
    </w:p>
    <w:p w:rsidR="0047143D" w:rsidRDefault="00BD5503" w:rsidP="007705F6">
      <w:pPr>
        <w:spacing w:line="240" w:lineRule="auto"/>
        <w:jc w:val="both"/>
      </w:pPr>
      <w:r>
        <w:rPr>
          <w:noProof/>
          <w:lang w:eastAsia="fr-FR"/>
        </w:rPr>
        <w:drawing>
          <wp:inline distT="0" distB="0" distL="0" distR="0" wp14:anchorId="7793E2AA" wp14:editId="7F6B98AD">
            <wp:extent cx="5772150" cy="2743200"/>
            <wp:effectExtent l="0" t="0" r="19050" b="19050"/>
            <wp:docPr id="15" name="Graphique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53EC1" w:rsidRPr="00653EC1" w:rsidRDefault="00653EC1" w:rsidP="007705F6">
      <w:pPr>
        <w:pStyle w:val="Paragraphedeliste"/>
        <w:numPr>
          <w:ilvl w:val="0"/>
          <w:numId w:val="18"/>
        </w:numPr>
        <w:spacing w:line="240" w:lineRule="auto"/>
        <w:jc w:val="both"/>
        <w:rPr>
          <w:u w:val="single"/>
        </w:rPr>
      </w:pPr>
      <w:r w:rsidRPr="00653EC1">
        <w:rPr>
          <w:u w:val="single"/>
        </w:rPr>
        <w:t>Lors d’un avancement de grade :</w:t>
      </w:r>
    </w:p>
    <w:p w:rsidR="007E38BB" w:rsidRDefault="002748B3" w:rsidP="007705F6">
      <w:pPr>
        <w:spacing w:line="240" w:lineRule="auto"/>
        <w:jc w:val="both"/>
      </w:pPr>
      <w:r>
        <w:t>S’agissant des avancements de gra</w:t>
      </w:r>
      <w:r w:rsidR="00FD05AB">
        <w:t>des, l</w:t>
      </w:r>
      <w:r w:rsidR="007E38BB">
        <w:t>e même phénomène est identifiable lors des avancements de grade. Ainsi, en catégorie C, l</w:t>
      </w:r>
      <w:r>
        <w:t>e</w:t>
      </w:r>
      <w:r w:rsidR="007E38BB">
        <w:t xml:space="preserve"> gain indiciaire résultant d’un avancement de grade varie de 2 à 25 points.</w:t>
      </w:r>
    </w:p>
    <w:p w:rsidR="00327DBA" w:rsidRDefault="00327DBA" w:rsidP="007705F6">
      <w:pPr>
        <w:spacing w:line="240" w:lineRule="auto"/>
        <w:jc w:val="both"/>
      </w:pPr>
      <w:r>
        <w:t xml:space="preserve">Le graphique ci-dessous indique selon l’échelon d’origine </w:t>
      </w:r>
      <w:r w:rsidR="00FF5B2C">
        <w:t>dans le grade d’origine</w:t>
      </w:r>
      <w:r w:rsidR="001943D8">
        <w:t xml:space="preserve"> </w:t>
      </w:r>
      <w:r>
        <w:t xml:space="preserve">les différences de gains indiciaires immédiats générés par une promotion de grade. </w:t>
      </w:r>
    </w:p>
    <w:p w:rsidR="007E38BB" w:rsidRDefault="00C4780C" w:rsidP="007705F6">
      <w:pPr>
        <w:spacing w:line="240" w:lineRule="auto"/>
        <w:jc w:val="both"/>
      </w:pPr>
      <w:r>
        <w:rPr>
          <w:noProof/>
          <w:lang w:eastAsia="fr-FR"/>
        </w:rPr>
        <w:lastRenderedPageBreak/>
        <w:drawing>
          <wp:inline distT="0" distB="0" distL="0" distR="0" wp14:anchorId="30475F0E" wp14:editId="3D167C5F">
            <wp:extent cx="5667375" cy="2743200"/>
            <wp:effectExtent l="0" t="0" r="9525" b="19050"/>
            <wp:docPr id="13" name="Graphique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748B3" w:rsidRDefault="002748B3" w:rsidP="007705F6">
      <w:pPr>
        <w:spacing w:line="240" w:lineRule="auto"/>
        <w:jc w:val="both"/>
      </w:pPr>
      <w:r>
        <w:t>S’agissant de la catégorie B (NES</w:t>
      </w:r>
      <w:r w:rsidR="00FD05AB">
        <w:t>)</w:t>
      </w:r>
      <w:r>
        <w:t>, le gain indiciaire résultant d’un avancement au 2</w:t>
      </w:r>
      <w:r w:rsidRPr="002748B3">
        <w:rPr>
          <w:vertAlign w:val="superscript"/>
        </w:rPr>
        <w:t>ème</w:t>
      </w:r>
      <w:r>
        <w:t xml:space="preserve"> grade varie entre 2 et 25 points, alors que l’accès au 3</w:t>
      </w:r>
      <w:r w:rsidRPr="002748B3">
        <w:rPr>
          <w:vertAlign w:val="superscript"/>
        </w:rPr>
        <w:t>ème</w:t>
      </w:r>
      <w:r>
        <w:t xml:space="preserve"> grade ne permet qu’une amélioration comprise entre 3 et 5 points d’indices. </w:t>
      </w:r>
    </w:p>
    <w:p w:rsidR="00FD05AB" w:rsidRDefault="00FD05AB" w:rsidP="007705F6">
      <w:pPr>
        <w:spacing w:line="240" w:lineRule="auto"/>
        <w:jc w:val="both"/>
      </w:pPr>
      <w:r>
        <w:t xml:space="preserve">On peut également constater que l’ancienneté détenue dans le même échelon pour l’avancement au NES2 modifie fortement le gain indiciaire immédiat. La courbe rouge ci-dessous indique le gain indiciaire le plus favorable pour </w:t>
      </w:r>
      <w:r w:rsidR="00327DBA">
        <w:t>certains</w:t>
      </w:r>
      <w:r>
        <w:t xml:space="preserve"> agents </w:t>
      </w:r>
      <w:r w:rsidR="00327DBA">
        <w:t xml:space="preserve">en raison de l’ancienneté qu’ils détiennent dans leur échelon d’origine. </w:t>
      </w:r>
    </w:p>
    <w:p w:rsidR="002748B3" w:rsidRDefault="00327DBA" w:rsidP="007705F6">
      <w:pPr>
        <w:spacing w:line="240" w:lineRule="auto"/>
        <w:jc w:val="both"/>
      </w:pPr>
      <w:r>
        <w:rPr>
          <w:noProof/>
          <w:lang w:eastAsia="fr-FR"/>
        </w:rPr>
        <w:drawing>
          <wp:inline distT="0" distB="0" distL="0" distR="0" wp14:anchorId="3191694B" wp14:editId="328129A7">
            <wp:extent cx="5848350" cy="2743200"/>
            <wp:effectExtent l="0" t="0" r="19050" b="19050"/>
            <wp:docPr id="11" name="Graphique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F5B2C" w:rsidRDefault="00FF5B2C">
      <w:pPr>
        <w:spacing w:after="0" w:line="240" w:lineRule="auto"/>
      </w:pPr>
      <w:r>
        <w:br w:type="page"/>
      </w:r>
    </w:p>
    <w:p w:rsidR="002748B3" w:rsidRDefault="00327DBA" w:rsidP="007705F6">
      <w:pPr>
        <w:spacing w:line="240" w:lineRule="auto"/>
        <w:jc w:val="both"/>
      </w:pPr>
      <w:r>
        <w:lastRenderedPageBreak/>
        <w:t>Pour la catégorie A (A-type)</w:t>
      </w:r>
      <w:r w:rsidR="00852D73">
        <w:t>, les écarts varient entre 3 et 27 points d’indice majorés.</w:t>
      </w:r>
    </w:p>
    <w:p w:rsidR="002748B3" w:rsidRDefault="00327DBA" w:rsidP="007705F6">
      <w:pPr>
        <w:spacing w:line="240" w:lineRule="auto"/>
        <w:jc w:val="both"/>
      </w:pPr>
      <w:r>
        <w:rPr>
          <w:noProof/>
          <w:lang w:eastAsia="fr-FR"/>
        </w:rPr>
        <w:drawing>
          <wp:inline distT="0" distB="0" distL="0" distR="0" wp14:anchorId="2027C97B" wp14:editId="3169370C">
            <wp:extent cx="5553075" cy="2743200"/>
            <wp:effectExtent l="0" t="0" r="9525" b="19050"/>
            <wp:docPr id="12" name="Graphique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52D73" w:rsidRDefault="00852D73" w:rsidP="007705F6">
      <w:pPr>
        <w:spacing w:line="240" w:lineRule="auto"/>
        <w:jc w:val="both"/>
      </w:pPr>
      <w:r>
        <w:t>Les variations des courbes démontrent que les grilles de rémunération</w:t>
      </w:r>
      <w:r w:rsidR="00EE0E9C">
        <w:t>,</w:t>
      </w:r>
      <w:r>
        <w:t xml:space="preserve"> structurées en échelon</w:t>
      </w:r>
      <w:r w:rsidR="00EE0E9C">
        <w:t>,</w:t>
      </w:r>
      <w:r>
        <w:t xml:space="preserve"> </w:t>
      </w:r>
      <w:r w:rsidR="00EE0E9C">
        <w:t>conduisent à proposer aux agents lors</w:t>
      </w:r>
      <w:r w:rsidR="008B5D00">
        <w:t xml:space="preserve"> </w:t>
      </w:r>
      <w:r w:rsidR="00EE0E9C">
        <w:t>de leur</w:t>
      </w:r>
      <w:r w:rsidR="008B5D00">
        <w:t xml:space="preserve"> avancement de grade ou d’échelon,</w:t>
      </w:r>
      <w:r>
        <w:t xml:space="preserve"> </w:t>
      </w:r>
      <w:r w:rsidR="00EE0E9C">
        <w:t xml:space="preserve">des augmentations </w:t>
      </w:r>
      <w:r>
        <w:t>indiciaire</w:t>
      </w:r>
      <w:r w:rsidR="00EE0E9C">
        <w:t xml:space="preserve">s </w:t>
      </w:r>
      <w:r w:rsidR="00C4780C">
        <w:t>qui ne sont pas objectiv</w:t>
      </w:r>
      <w:r w:rsidR="00323EEF">
        <w:t>e</w:t>
      </w:r>
      <w:r w:rsidR="00C4780C">
        <w:t xml:space="preserve">s et </w:t>
      </w:r>
      <w:r w:rsidR="00EE0E9C">
        <w:t xml:space="preserve">qui n’obéissent </w:t>
      </w:r>
      <w:r w:rsidR="001943D8">
        <w:t>pas</w:t>
      </w:r>
      <w:r w:rsidR="00C4780C">
        <w:t>,</w:t>
      </w:r>
      <w:r w:rsidR="001943D8">
        <w:t xml:space="preserve"> </w:t>
      </w:r>
      <w:r w:rsidR="00C4780C">
        <w:t xml:space="preserve">en termes de politiques salariales, </w:t>
      </w:r>
      <w:r w:rsidR="00EE0E9C">
        <w:t xml:space="preserve">à une bonne gestion des </w:t>
      </w:r>
      <w:r w:rsidR="001943D8">
        <w:t>ressources humaines.</w:t>
      </w:r>
    </w:p>
    <w:p w:rsidR="00FF5B2C" w:rsidRPr="00FF5B2C" w:rsidRDefault="00AB088D" w:rsidP="00FF5B2C">
      <w:pPr>
        <w:pStyle w:val="Paragraphedeliste"/>
        <w:numPr>
          <w:ilvl w:val="0"/>
          <w:numId w:val="18"/>
        </w:numPr>
        <w:spacing w:line="240" w:lineRule="auto"/>
        <w:jc w:val="both"/>
        <w:rPr>
          <w:u w:val="single"/>
        </w:rPr>
      </w:pPr>
      <w:r w:rsidRPr="00653EC1">
        <w:rPr>
          <w:u w:val="single"/>
        </w:rPr>
        <w:t>Lors d’une modification statutaire ou indiciaire</w:t>
      </w:r>
    </w:p>
    <w:p w:rsidR="00AB088D" w:rsidRDefault="00AB088D" w:rsidP="007705F6">
      <w:pPr>
        <w:spacing w:line="240" w:lineRule="auto"/>
        <w:jc w:val="both"/>
      </w:pPr>
      <w:r>
        <w:t xml:space="preserve">A l’occasion de la récente revalorisation des grilles de rémunérations des corps de catégorie C, les gains de reclassement </w:t>
      </w:r>
      <w:r w:rsidR="001943D8">
        <w:t xml:space="preserve">ont été fort différents (de 1 à 10 points), </w:t>
      </w:r>
      <w:r w:rsidR="00FF5B2C">
        <w:t xml:space="preserve">cette différence de traitement étant liée, non pas à la proximité de l’indice minimum fonction publique mais à une </w:t>
      </w:r>
      <w:r w:rsidR="001943D8">
        <w:t>problématique des reclassements.</w:t>
      </w:r>
    </w:p>
    <w:p w:rsidR="00FF5B2C" w:rsidRDefault="00FF5B2C" w:rsidP="007705F6">
      <w:pPr>
        <w:jc w:val="both"/>
      </w:pPr>
      <w:r>
        <w:t>L</w:t>
      </w:r>
      <w:r w:rsidR="000F207A">
        <w:t xml:space="preserve">es dispositions relatives aux reclassements </w:t>
      </w:r>
      <w:r>
        <w:t xml:space="preserve">sont en effet </w:t>
      </w:r>
      <w:r w:rsidR="000F207A">
        <w:t xml:space="preserve">de plus en plus complexes </w:t>
      </w:r>
      <w:r>
        <w:t xml:space="preserve">et doivent permettre </w:t>
      </w:r>
      <w:r w:rsidR="000F207A">
        <w:t>d’éviter les inversions de l’ordre de l’ancienneté</w:t>
      </w:r>
      <w:r>
        <w:t>. Elles conduisent à l’octroi de gains indiciaires parfois fort différenciés, qui ne sont pas toujours justifiés par les objectifs « RH » poursuivis.</w:t>
      </w:r>
    </w:p>
    <w:p w:rsidR="00FF5B2C" w:rsidRPr="00FF5B2C" w:rsidRDefault="00FF5B2C" w:rsidP="00E92E0A">
      <w:pPr>
        <w:pStyle w:val="Paragraphedeliste"/>
        <w:numPr>
          <w:ilvl w:val="0"/>
          <w:numId w:val="18"/>
        </w:numPr>
        <w:spacing w:line="240" w:lineRule="auto"/>
        <w:jc w:val="both"/>
        <w:rPr>
          <w:u w:val="single"/>
        </w:rPr>
      </w:pPr>
      <w:r w:rsidRPr="00FF5B2C">
        <w:rPr>
          <w:u w:val="single"/>
        </w:rPr>
        <w:t xml:space="preserve">Lors </w:t>
      </w:r>
      <w:r>
        <w:rPr>
          <w:u w:val="single"/>
        </w:rPr>
        <w:t>de détachements</w:t>
      </w:r>
    </w:p>
    <w:p w:rsidR="00653EC1" w:rsidRDefault="00FF5B2C" w:rsidP="007705F6">
      <w:pPr>
        <w:jc w:val="both"/>
      </w:pPr>
      <w:r>
        <w:t>D</w:t>
      </w:r>
      <w:r w:rsidR="000F207A">
        <w:t xml:space="preserve">es effets d’aubaine </w:t>
      </w:r>
      <w:r>
        <w:t xml:space="preserve">importants sont constatés à l’occasion de </w:t>
      </w:r>
      <w:r w:rsidR="000F207A">
        <w:t xml:space="preserve">détachements en raison des reclassements dans les </w:t>
      </w:r>
      <w:r>
        <w:t>échelons de grilles différentes : un écart d’un point peut conduire un agent à progresser à hauteur d’une durée d’échelon et gagner ainsi en anciennet</w:t>
      </w:r>
      <w:r w:rsidR="005045B9">
        <w:t xml:space="preserve">é de 1 à 4 ans, sans que cette </w:t>
      </w:r>
      <w:r>
        <w:t xml:space="preserve">progression soit justifiée par des considérations de </w:t>
      </w:r>
      <w:r w:rsidR="00323EEF">
        <w:t xml:space="preserve">valeur professionnelle </w:t>
      </w:r>
      <w:r>
        <w:t>ou de niveau de qualifications.</w:t>
      </w:r>
    </w:p>
    <w:p w:rsidR="00D850AC" w:rsidRDefault="00D850AC">
      <w:pPr>
        <w:spacing w:after="0" w:line="240" w:lineRule="auto"/>
      </w:pPr>
      <w:r>
        <w:br w:type="page"/>
      </w:r>
    </w:p>
    <w:p w:rsidR="00D850AC" w:rsidRDefault="00D850AC" w:rsidP="007705F6">
      <w:pPr>
        <w:jc w:val="both"/>
      </w:pPr>
    </w:p>
    <w:p w:rsidR="00B7340B" w:rsidRPr="00B7340B" w:rsidRDefault="00B7340B" w:rsidP="007705F6">
      <w:pPr>
        <w:numPr>
          <w:ilvl w:val="0"/>
          <w:numId w:val="1"/>
        </w:numPr>
        <w:pBdr>
          <w:bottom w:val="single" w:sz="12" w:space="1" w:color="1F497D"/>
        </w:pBdr>
        <w:ind w:left="0" w:firstLine="0"/>
        <w:contextualSpacing/>
        <w:rPr>
          <w:rFonts w:ascii="Arial" w:hAnsi="Arial" w:cs="Arial"/>
          <w:b/>
          <w:bCs/>
          <w:color w:val="1F497D"/>
          <w:sz w:val="28"/>
          <w:szCs w:val="28"/>
        </w:rPr>
      </w:pPr>
      <w:r w:rsidRPr="00B7340B">
        <w:rPr>
          <w:rFonts w:ascii="Arial" w:hAnsi="Arial" w:cs="Arial"/>
          <w:b/>
          <w:bCs/>
          <w:color w:val="1F497D"/>
          <w:sz w:val="28"/>
          <w:szCs w:val="28"/>
        </w:rPr>
        <w:t>ENJEUX</w:t>
      </w:r>
    </w:p>
    <w:p w:rsidR="00323EEF" w:rsidRDefault="00323EEF" w:rsidP="007705F6">
      <w:pPr>
        <w:tabs>
          <w:tab w:val="left" w:pos="284"/>
        </w:tabs>
        <w:spacing w:line="240" w:lineRule="auto"/>
        <w:jc w:val="both"/>
      </w:pPr>
    </w:p>
    <w:p w:rsidR="00323EEF" w:rsidRDefault="00323EEF" w:rsidP="007705F6">
      <w:pPr>
        <w:tabs>
          <w:tab w:val="left" w:pos="284"/>
        </w:tabs>
        <w:spacing w:line="240" w:lineRule="auto"/>
        <w:jc w:val="both"/>
      </w:pPr>
      <w:r>
        <w:t xml:space="preserve">Les structurations des grilles doivent pouvoir répondre aux objectifs suivants : </w:t>
      </w:r>
    </w:p>
    <w:p w:rsidR="008C669D" w:rsidRDefault="00323EEF" w:rsidP="008C669D">
      <w:pPr>
        <w:tabs>
          <w:tab w:val="left" w:pos="284"/>
        </w:tabs>
        <w:spacing w:line="240" w:lineRule="auto"/>
        <w:jc w:val="both"/>
      </w:pPr>
      <w:r>
        <w:t>Etre compréhensibles pour les agents et  plus lisibles tant dans le cadre des avancements d’échelons que lors de promotion</w:t>
      </w:r>
      <w:r w:rsidR="008C669D">
        <w:t>s</w:t>
      </w:r>
      <w:r>
        <w:t xml:space="preserve"> ou </w:t>
      </w:r>
      <w:r w:rsidR="008C669D">
        <w:t xml:space="preserve">encore dans le cadre de réformes </w:t>
      </w:r>
      <w:r>
        <w:t xml:space="preserve">statutaires </w:t>
      </w:r>
    </w:p>
    <w:p w:rsidR="008C669D" w:rsidRDefault="008C669D" w:rsidP="008C669D">
      <w:pPr>
        <w:tabs>
          <w:tab w:val="left" w:pos="284"/>
        </w:tabs>
        <w:spacing w:line="240" w:lineRule="auto"/>
        <w:jc w:val="both"/>
      </w:pPr>
      <w:r>
        <w:t>Garantir un traitement équitable des agents, entre versants de la fonction publique.</w:t>
      </w:r>
    </w:p>
    <w:p w:rsidR="00B7340B" w:rsidRDefault="00D850AC" w:rsidP="007705F6">
      <w:pPr>
        <w:tabs>
          <w:tab w:val="left" w:pos="284"/>
        </w:tabs>
        <w:spacing w:line="240" w:lineRule="auto"/>
        <w:jc w:val="both"/>
      </w:pPr>
      <w:r>
        <w:t xml:space="preserve">Assurer l’équité des outils d’évolution de la carrière </w:t>
      </w:r>
      <w:r w:rsidR="00B7340B">
        <w:t>et le respect du principe de l’égalité de traitement.</w:t>
      </w:r>
    </w:p>
    <w:p w:rsidR="00C27D84" w:rsidRPr="00F3692F" w:rsidRDefault="00323EEF" w:rsidP="007705F6">
      <w:pPr>
        <w:pStyle w:val="Paragraphedeliste"/>
        <w:numPr>
          <w:ilvl w:val="0"/>
          <w:numId w:val="1"/>
        </w:numPr>
        <w:pBdr>
          <w:bottom w:val="single" w:sz="12" w:space="1" w:color="1F497D"/>
        </w:pBdr>
        <w:rPr>
          <w:rFonts w:ascii="Arial" w:hAnsi="Arial" w:cs="Arial"/>
          <w:b/>
          <w:bCs/>
          <w:color w:val="1F497D"/>
          <w:sz w:val="28"/>
          <w:szCs w:val="28"/>
        </w:rPr>
      </w:pPr>
      <w:r>
        <w:t>.</w:t>
      </w:r>
      <w:r w:rsidR="00B7340B">
        <w:t xml:space="preserve"> </w:t>
      </w:r>
      <w:r w:rsidR="00B7340B">
        <w:rPr>
          <w:rFonts w:ascii="Arial" w:hAnsi="Arial" w:cs="Arial"/>
          <w:b/>
          <w:bCs/>
          <w:color w:val="1F497D"/>
          <w:sz w:val="28"/>
          <w:szCs w:val="28"/>
        </w:rPr>
        <w:t xml:space="preserve">QUESTIONS </w:t>
      </w:r>
    </w:p>
    <w:p w:rsidR="00307BB3" w:rsidRDefault="00307BB3" w:rsidP="0070288C">
      <w:pPr>
        <w:pStyle w:val="Paragraphedeliste"/>
        <w:jc w:val="both"/>
      </w:pPr>
    </w:p>
    <w:p w:rsidR="00307BB3" w:rsidRPr="0070288C" w:rsidRDefault="00307BB3" w:rsidP="0070288C">
      <w:pPr>
        <w:pStyle w:val="Paragraphedeliste"/>
        <w:numPr>
          <w:ilvl w:val="0"/>
          <w:numId w:val="24"/>
        </w:numPr>
        <w:jc w:val="both"/>
        <w:rPr>
          <w:b/>
        </w:rPr>
      </w:pPr>
      <w:r w:rsidRPr="0070288C">
        <w:rPr>
          <w:b/>
        </w:rPr>
        <w:t xml:space="preserve">Comment l’ancienneté </w:t>
      </w:r>
      <w:proofErr w:type="spellStart"/>
      <w:r w:rsidRPr="0070288C">
        <w:rPr>
          <w:b/>
        </w:rPr>
        <w:t>doit-elle</w:t>
      </w:r>
      <w:proofErr w:type="spellEnd"/>
      <w:r w:rsidRPr="0070288C">
        <w:rPr>
          <w:b/>
        </w:rPr>
        <w:t xml:space="preserve"> être prise en compte dans la carrière ?</w:t>
      </w:r>
    </w:p>
    <w:p w:rsidR="0070288C" w:rsidRDefault="0070288C" w:rsidP="0070288C">
      <w:pPr>
        <w:pStyle w:val="Paragraphedeliste"/>
        <w:jc w:val="both"/>
      </w:pPr>
    </w:p>
    <w:p w:rsidR="00307BB3" w:rsidRDefault="00307BB3" w:rsidP="0070288C">
      <w:pPr>
        <w:pStyle w:val="Paragraphedeliste"/>
        <w:numPr>
          <w:ilvl w:val="0"/>
          <w:numId w:val="25"/>
        </w:numPr>
        <w:jc w:val="both"/>
      </w:pPr>
      <w:r>
        <w:t>Les gains indiciaires entre chaque avancement au sein d’un même grade doivent-ils être homogénéisés ?</w:t>
      </w:r>
    </w:p>
    <w:p w:rsidR="00307BB3" w:rsidRDefault="00307BB3" w:rsidP="0070288C">
      <w:pPr>
        <w:pStyle w:val="Paragraphedeliste"/>
        <w:numPr>
          <w:ilvl w:val="0"/>
          <w:numId w:val="25"/>
        </w:numPr>
        <w:jc w:val="both"/>
      </w:pPr>
      <w:r>
        <w:t xml:space="preserve">Les gains indiciaires doivent-ils être </w:t>
      </w:r>
      <w:proofErr w:type="spellStart"/>
      <w:r>
        <w:t>homégénéisés</w:t>
      </w:r>
      <w:proofErr w:type="spellEnd"/>
      <w:r>
        <w:t xml:space="preserve"> pour chaque grade d’un même corps ?</w:t>
      </w:r>
    </w:p>
    <w:p w:rsidR="0070288C" w:rsidRDefault="00307BB3" w:rsidP="0070288C">
      <w:pPr>
        <w:pStyle w:val="Paragraphedeliste"/>
        <w:numPr>
          <w:ilvl w:val="0"/>
          <w:numId w:val="25"/>
        </w:numPr>
        <w:jc w:val="both"/>
      </w:pPr>
      <w:r>
        <w:t xml:space="preserve">L’avancement de grade doit-il se traduire par un gain indiciaire supérieur à celui qui résulterait d’un avancement d‘échelon ? Doit-il être modulé en fonction de l’ancienneté dans le grade précédent ? </w:t>
      </w:r>
    </w:p>
    <w:p w:rsidR="0070288C" w:rsidRDefault="0070288C" w:rsidP="0070288C">
      <w:pPr>
        <w:pStyle w:val="Paragraphedeliste"/>
        <w:jc w:val="both"/>
      </w:pPr>
    </w:p>
    <w:p w:rsidR="0070288C" w:rsidRPr="0070288C" w:rsidRDefault="00307BB3" w:rsidP="0070288C">
      <w:pPr>
        <w:pStyle w:val="Paragraphedeliste"/>
        <w:numPr>
          <w:ilvl w:val="0"/>
          <w:numId w:val="24"/>
        </w:numPr>
        <w:spacing w:line="240" w:lineRule="auto"/>
        <w:jc w:val="both"/>
        <w:rPr>
          <w:b/>
        </w:rPr>
      </w:pPr>
      <w:r w:rsidRPr="0070288C">
        <w:rPr>
          <w:b/>
        </w:rPr>
        <w:t xml:space="preserve">Comment la valeur professionnelle </w:t>
      </w:r>
      <w:proofErr w:type="spellStart"/>
      <w:r w:rsidRPr="0070288C">
        <w:rPr>
          <w:b/>
        </w:rPr>
        <w:t>doit-elle</w:t>
      </w:r>
      <w:proofErr w:type="spellEnd"/>
      <w:r w:rsidRPr="0070288C">
        <w:rPr>
          <w:b/>
        </w:rPr>
        <w:t xml:space="preserve"> être prise en compte dans la carrière ?</w:t>
      </w:r>
    </w:p>
    <w:p w:rsidR="0070288C" w:rsidRDefault="0070288C" w:rsidP="0070288C">
      <w:pPr>
        <w:pStyle w:val="Paragraphedeliste"/>
        <w:spacing w:line="240" w:lineRule="auto"/>
        <w:jc w:val="both"/>
      </w:pPr>
    </w:p>
    <w:p w:rsidR="0070288C" w:rsidRDefault="0070288C" w:rsidP="0070288C">
      <w:pPr>
        <w:pStyle w:val="Paragraphedeliste"/>
        <w:numPr>
          <w:ilvl w:val="0"/>
          <w:numId w:val="26"/>
        </w:numPr>
        <w:jc w:val="both"/>
      </w:pPr>
      <w:r>
        <w:t xml:space="preserve">Faut-il mieux distinguer l’avancement au mérite de l’avancement à l’ancienneté ? La reconnaissance de la valeur professionnelle </w:t>
      </w:r>
      <w:proofErr w:type="spellStart"/>
      <w:r>
        <w:t>doit-elle</w:t>
      </w:r>
      <w:proofErr w:type="spellEnd"/>
      <w:r>
        <w:t xml:space="preserve"> être plus significative ? </w:t>
      </w:r>
    </w:p>
    <w:p w:rsidR="0070288C" w:rsidRDefault="0070288C" w:rsidP="0070288C">
      <w:pPr>
        <w:pStyle w:val="Paragraphedeliste"/>
        <w:numPr>
          <w:ilvl w:val="0"/>
          <w:numId w:val="26"/>
        </w:numPr>
        <w:jc w:val="both"/>
      </w:pPr>
      <w:r>
        <w:t xml:space="preserve">Cette reconnaissance </w:t>
      </w:r>
      <w:proofErr w:type="spellStart"/>
      <w:r>
        <w:t>doit-elle</w:t>
      </w:r>
      <w:proofErr w:type="spellEnd"/>
      <w:r>
        <w:t xml:space="preserve"> être exprimée à travers l’avancement d’échelon, de grade et la promotion de corps?</w:t>
      </w:r>
    </w:p>
    <w:p w:rsidR="0070288C" w:rsidRDefault="0070288C" w:rsidP="0070288C">
      <w:pPr>
        <w:pStyle w:val="Paragraphedeliste"/>
        <w:ind w:left="1080"/>
        <w:jc w:val="both"/>
      </w:pPr>
    </w:p>
    <w:p w:rsidR="0070288C" w:rsidRPr="0070288C" w:rsidRDefault="0070288C" w:rsidP="0070288C">
      <w:pPr>
        <w:pStyle w:val="Paragraphedeliste"/>
        <w:numPr>
          <w:ilvl w:val="0"/>
          <w:numId w:val="24"/>
        </w:numPr>
        <w:jc w:val="both"/>
        <w:rPr>
          <w:b/>
        </w:rPr>
      </w:pPr>
      <w:r w:rsidRPr="0070288C">
        <w:rPr>
          <w:b/>
        </w:rPr>
        <w:t xml:space="preserve">L’harmonisation des carrières entre les versants de la fonction publique ne </w:t>
      </w:r>
      <w:proofErr w:type="spellStart"/>
      <w:r w:rsidRPr="0070288C">
        <w:rPr>
          <w:b/>
        </w:rPr>
        <w:t>doit-elle</w:t>
      </w:r>
      <w:proofErr w:type="spellEnd"/>
      <w:r w:rsidRPr="0070288C">
        <w:rPr>
          <w:b/>
        </w:rPr>
        <w:t xml:space="preserve"> pas conduire également à l’harmonisation des modalités de prise en compte de la valeur professionnelle</w:t>
      </w:r>
      <w:r w:rsidR="00922288">
        <w:rPr>
          <w:b/>
        </w:rPr>
        <w:t xml:space="preserve"> </w:t>
      </w:r>
      <w:r w:rsidRPr="0070288C">
        <w:rPr>
          <w:b/>
        </w:rPr>
        <w:t>?</w:t>
      </w:r>
    </w:p>
    <w:p w:rsidR="0070288C" w:rsidRDefault="0070288C" w:rsidP="0070288C">
      <w:pPr>
        <w:ind w:left="360"/>
        <w:jc w:val="both"/>
      </w:pPr>
    </w:p>
    <w:p w:rsidR="00C27D84" w:rsidRDefault="00C27D84" w:rsidP="00307BB3">
      <w:pPr>
        <w:jc w:val="both"/>
      </w:pPr>
    </w:p>
    <w:p w:rsidR="00C27D84" w:rsidRPr="009369CA" w:rsidRDefault="00C27D84" w:rsidP="0070288C">
      <w:pPr>
        <w:jc w:val="both"/>
      </w:pPr>
    </w:p>
    <w:sectPr w:rsidR="00C27D84" w:rsidRPr="009369CA" w:rsidSect="0047143D">
      <w:headerReference w:type="default" r:id="rId15"/>
      <w:footerReference w:type="even" r:id="rId16"/>
      <w:footerReference w:type="default" r:id="rId17"/>
      <w:pgSz w:w="11906" w:h="16838"/>
      <w:pgMar w:top="54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12F" w:rsidRDefault="000E212F" w:rsidP="005E261F">
      <w:pPr>
        <w:spacing w:after="0" w:line="240" w:lineRule="auto"/>
      </w:pPr>
      <w:r>
        <w:separator/>
      </w:r>
    </w:p>
  </w:endnote>
  <w:endnote w:type="continuationSeparator" w:id="0">
    <w:p w:rsidR="000E212F" w:rsidRDefault="000E212F" w:rsidP="005E2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FDE" w:rsidRDefault="00546FDE" w:rsidP="004B0952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546FDE" w:rsidRDefault="00546FDE" w:rsidP="00DC7511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FDE" w:rsidRDefault="00546FDE" w:rsidP="004B0952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FB6F38">
      <w:rPr>
        <w:rStyle w:val="Numrodepage"/>
        <w:noProof/>
      </w:rPr>
      <w:t>2</w:t>
    </w:r>
    <w:r>
      <w:rPr>
        <w:rStyle w:val="Numrodepage"/>
      </w:rPr>
      <w:fldChar w:fldCharType="end"/>
    </w:r>
  </w:p>
  <w:p w:rsidR="00546FDE" w:rsidRDefault="0031561E" w:rsidP="00D850AC">
    <w:pPr>
      <w:pStyle w:val="Pieddepage"/>
      <w:ind w:right="360"/>
    </w:pPr>
    <w:r>
      <w:t>Fiche réunion 22 octobre 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12F" w:rsidRDefault="000E212F" w:rsidP="005E261F">
      <w:pPr>
        <w:spacing w:after="0" w:line="240" w:lineRule="auto"/>
      </w:pPr>
      <w:r>
        <w:separator/>
      </w:r>
    </w:p>
  </w:footnote>
  <w:footnote w:type="continuationSeparator" w:id="0">
    <w:p w:rsidR="000E212F" w:rsidRDefault="000E212F" w:rsidP="005E2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FDE" w:rsidRPr="00D850AC" w:rsidRDefault="00323EEF" w:rsidP="0070288C">
    <w:pPr>
      <w:pStyle w:val="En-tte"/>
      <w:tabs>
        <w:tab w:val="left" w:pos="2016"/>
      </w:tabs>
      <w:jc w:val="both"/>
      <w:rPr>
        <w:rFonts w:ascii="Arial" w:hAnsi="Arial" w:cs="Arial"/>
        <w:b/>
        <w:bCs/>
        <w:color w:val="FF0000"/>
        <w:sz w:val="28"/>
        <w:szCs w:val="28"/>
      </w:rPr>
    </w:pPr>
    <w:r w:rsidRPr="00D850AC">
      <w:rPr>
        <w:rFonts w:ascii="Arial" w:hAnsi="Arial" w:cs="Arial"/>
        <w:b/>
        <w:bCs/>
        <w:color w:val="FFFFFF"/>
        <w:sz w:val="28"/>
        <w:szCs w:val="28"/>
        <w:shd w:val="clear" w:color="auto" w:fill="1F497D"/>
      </w:rPr>
      <w:t>Avenir de la fonction publique : parcours professionnels carrières et rémunérations</w:t>
    </w:r>
    <w:r w:rsidR="00546FDE" w:rsidRPr="00D850AC">
      <w:rPr>
        <w:rFonts w:ascii="Arial" w:hAnsi="Arial" w:cs="Arial"/>
        <w:b/>
        <w:bCs/>
        <w:color w:val="FFFFFF"/>
        <w:sz w:val="28"/>
        <w:szCs w:val="28"/>
        <w:shd w:val="clear" w:color="auto" w:fill="1F497D"/>
      </w:rPr>
      <w:t xml:space="preserve">  </w:t>
    </w:r>
  </w:p>
  <w:p w:rsidR="00546FDE" w:rsidRPr="005E261F" w:rsidRDefault="00546FDE" w:rsidP="005E261F">
    <w:pPr>
      <w:pStyle w:val="En-tte"/>
      <w:tabs>
        <w:tab w:val="clear" w:pos="4536"/>
        <w:tab w:val="clear" w:pos="9072"/>
        <w:tab w:val="left" w:pos="2016"/>
      </w:tabs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1653A76"/>
    <w:multiLevelType w:val="hybridMultilevel"/>
    <w:tmpl w:val="1204801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F1391D"/>
    <w:multiLevelType w:val="hybridMultilevel"/>
    <w:tmpl w:val="B39C10D8"/>
    <w:lvl w:ilvl="0" w:tplc="0F8013F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F94AE4"/>
    <w:multiLevelType w:val="hybridMultilevel"/>
    <w:tmpl w:val="326018B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nsid w:val="091F0938"/>
    <w:multiLevelType w:val="hybridMultilevel"/>
    <w:tmpl w:val="D2C20216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3227E9"/>
    <w:multiLevelType w:val="hybridMultilevel"/>
    <w:tmpl w:val="BB44A5BA"/>
    <w:lvl w:ilvl="0" w:tplc="040C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">
    <w:nsid w:val="0B6B4990"/>
    <w:multiLevelType w:val="hybridMultilevel"/>
    <w:tmpl w:val="CDFA7F40"/>
    <w:lvl w:ilvl="0" w:tplc="0F8013F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6461DB"/>
    <w:multiLevelType w:val="hybridMultilevel"/>
    <w:tmpl w:val="C944EC76"/>
    <w:lvl w:ilvl="0" w:tplc="8B80266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09642B"/>
    <w:multiLevelType w:val="hybridMultilevel"/>
    <w:tmpl w:val="B40CC5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95889"/>
    <w:multiLevelType w:val="hybridMultilevel"/>
    <w:tmpl w:val="6FE4E09E"/>
    <w:lvl w:ilvl="0" w:tplc="A07AF76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C29A4"/>
    <w:multiLevelType w:val="hybridMultilevel"/>
    <w:tmpl w:val="B0E60BE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526A31"/>
    <w:multiLevelType w:val="hybridMultilevel"/>
    <w:tmpl w:val="B424564C"/>
    <w:lvl w:ilvl="0" w:tplc="CD8E75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8669CF"/>
    <w:multiLevelType w:val="hybridMultilevel"/>
    <w:tmpl w:val="D31C626C"/>
    <w:lvl w:ilvl="0" w:tplc="BFC68F5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F77B8"/>
    <w:multiLevelType w:val="hybridMultilevel"/>
    <w:tmpl w:val="DF008AF8"/>
    <w:lvl w:ilvl="0" w:tplc="D5D62D30"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9E95090"/>
    <w:multiLevelType w:val="hybridMultilevel"/>
    <w:tmpl w:val="B88204FE"/>
    <w:lvl w:ilvl="0" w:tplc="0C42B26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51213"/>
    <w:multiLevelType w:val="hybridMultilevel"/>
    <w:tmpl w:val="149E3194"/>
    <w:lvl w:ilvl="0" w:tplc="4BC2B1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10148C"/>
    <w:multiLevelType w:val="hybridMultilevel"/>
    <w:tmpl w:val="46825AA4"/>
    <w:lvl w:ilvl="0" w:tplc="9162E2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C916C0F"/>
    <w:multiLevelType w:val="hybridMultilevel"/>
    <w:tmpl w:val="EE142590"/>
    <w:lvl w:ilvl="0" w:tplc="0F8013F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5CC83735"/>
    <w:multiLevelType w:val="hybridMultilevel"/>
    <w:tmpl w:val="1DC2171A"/>
    <w:lvl w:ilvl="0" w:tplc="CD8E75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706A33"/>
    <w:multiLevelType w:val="hybridMultilevel"/>
    <w:tmpl w:val="B0E60BE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A710CE"/>
    <w:multiLevelType w:val="hybridMultilevel"/>
    <w:tmpl w:val="A64053C0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64A31BA0"/>
    <w:multiLevelType w:val="hybridMultilevel"/>
    <w:tmpl w:val="AA76051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EC7941"/>
    <w:multiLevelType w:val="hybridMultilevel"/>
    <w:tmpl w:val="F9F4A5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5B627B"/>
    <w:multiLevelType w:val="hybridMultilevel"/>
    <w:tmpl w:val="7F0EBB6E"/>
    <w:lvl w:ilvl="0" w:tplc="8B80266E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97C665D"/>
    <w:multiLevelType w:val="hybridMultilevel"/>
    <w:tmpl w:val="17A43954"/>
    <w:lvl w:ilvl="0" w:tplc="CD8E75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32AB2"/>
    <w:multiLevelType w:val="hybridMultilevel"/>
    <w:tmpl w:val="11A4364C"/>
    <w:lvl w:ilvl="0" w:tplc="973681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5"/>
  </w:num>
  <w:num w:numId="3">
    <w:abstractNumId w:val="3"/>
  </w:num>
  <w:num w:numId="4">
    <w:abstractNumId w:val="0"/>
  </w:num>
  <w:num w:numId="5">
    <w:abstractNumId w:val="13"/>
  </w:num>
  <w:num w:numId="6">
    <w:abstractNumId w:val="16"/>
  </w:num>
  <w:num w:numId="7">
    <w:abstractNumId w:val="17"/>
  </w:num>
  <w:num w:numId="8">
    <w:abstractNumId w:val="6"/>
  </w:num>
  <w:num w:numId="9">
    <w:abstractNumId w:val="2"/>
  </w:num>
  <w:num w:numId="10">
    <w:abstractNumId w:val="20"/>
  </w:num>
  <w:num w:numId="11">
    <w:abstractNumId w:val="22"/>
  </w:num>
  <w:num w:numId="12">
    <w:abstractNumId w:val="5"/>
  </w:num>
  <w:num w:numId="13">
    <w:abstractNumId w:val="1"/>
  </w:num>
  <w:num w:numId="14">
    <w:abstractNumId w:val="4"/>
  </w:num>
  <w:num w:numId="15">
    <w:abstractNumId w:val="9"/>
  </w:num>
  <w:num w:numId="16">
    <w:abstractNumId w:val="12"/>
  </w:num>
  <w:num w:numId="17">
    <w:abstractNumId w:val="14"/>
  </w:num>
  <w:num w:numId="18">
    <w:abstractNumId w:val="21"/>
  </w:num>
  <w:num w:numId="19">
    <w:abstractNumId w:val="11"/>
  </w:num>
  <w:num w:numId="20">
    <w:abstractNumId w:val="18"/>
  </w:num>
  <w:num w:numId="21">
    <w:abstractNumId w:val="15"/>
  </w:num>
  <w:num w:numId="22">
    <w:abstractNumId w:val="10"/>
  </w:num>
  <w:num w:numId="23">
    <w:abstractNumId w:val="19"/>
  </w:num>
  <w:num w:numId="24">
    <w:abstractNumId w:val="8"/>
  </w:num>
  <w:num w:numId="25">
    <w:abstractNumId w:val="7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61F"/>
    <w:rsid w:val="00000A6B"/>
    <w:rsid w:val="00020C7A"/>
    <w:rsid w:val="000329D8"/>
    <w:rsid w:val="000A716A"/>
    <w:rsid w:val="000A751B"/>
    <w:rsid w:val="000C5ADC"/>
    <w:rsid w:val="000D4032"/>
    <w:rsid w:val="000E212F"/>
    <w:rsid w:val="000E5349"/>
    <w:rsid w:val="000F207A"/>
    <w:rsid w:val="00130412"/>
    <w:rsid w:val="001448C2"/>
    <w:rsid w:val="00146567"/>
    <w:rsid w:val="00153DFE"/>
    <w:rsid w:val="00164A1C"/>
    <w:rsid w:val="0017132B"/>
    <w:rsid w:val="001816CA"/>
    <w:rsid w:val="001943D8"/>
    <w:rsid w:val="001A0333"/>
    <w:rsid w:val="001D1A95"/>
    <w:rsid w:val="001D2AD6"/>
    <w:rsid w:val="001F2C38"/>
    <w:rsid w:val="00211DF0"/>
    <w:rsid w:val="00230B7F"/>
    <w:rsid w:val="002348EC"/>
    <w:rsid w:val="00243D33"/>
    <w:rsid w:val="00244FEF"/>
    <w:rsid w:val="00263E83"/>
    <w:rsid w:val="00266DB0"/>
    <w:rsid w:val="002748B3"/>
    <w:rsid w:val="00293C09"/>
    <w:rsid w:val="002B2C58"/>
    <w:rsid w:val="002D1172"/>
    <w:rsid w:val="002E7535"/>
    <w:rsid w:val="002F1E19"/>
    <w:rsid w:val="002F3AC4"/>
    <w:rsid w:val="002F6C62"/>
    <w:rsid w:val="00307BB3"/>
    <w:rsid w:val="0031561E"/>
    <w:rsid w:val="003159AB"/>
    <w:rsid w:val="00323EEF"/>
    <w:rsid w:val="00327DBA"/>
    <w:rsid w:val="00342A42"/>
    <w:rsid w:val="00350CD6"/>
    <w:rsid w:val="0036706D"/>
    <w:rsid w:val="003728BF"/>
    <w:rsid w:val="003847EB"/>
    <w:rsid w:val="00384E3A"/>
    <w:rsid w:val="003932E9"/>
    <w:rsid w:val="003B30E3"/>
    <w:rsid w:val="003B52E7"/>
    <w:rsid w:val="003F12E7"/>
    <w:rsid w:val="00411B36"/>
    <w:rsid w:val="00432756"/>
    <w:rsid w:val="00451E21"/>
    <w:rsid w:val="00466819"/>
    <w:rsid w:val="0047025B"/>
    <w:rsid w:val="0047143D"/>
    <w:rsid w:val="004B0952"/>
    <w:rsid w:val="004C523C"/>
    <w:rsid w:val="004D1425"/>
    <w:rsid w:val="004F32B2"/>
    <w:rsid w:val="00503648"/>
    <w:rsid w:val="005045B9"/>
    <w:rsid w:val="005121C9"/>
    <w:rsid w:val="00522360"/>
    <w:rsid w:val="00546703"/>
    <w:rsid w:val="00546FDE"/>
    <w:rsid w:val="0058039D"/>
    <w:rsid w:val="005B4508"/>
    <w:rsid w:val="005B53AB"/>
    <w:rsid w:val="005D77D2"/>
    <w:rsid w:val="005E0A9F"/>
    <w:rsid w:val="005E261F"/>
    <w:rsid w:val="005F5B48"/>
    <w:rsid w:val="0062075D"/>
    <w:rsid w:val="0063361B"/>
    <w:rsid w:val="00645EB6"/>
    <w:rsid w:val="00653EC1"/>
    <w:rsid w:val="00662862"/>
    <w:rsid w:val="00673E96"/>
    <w:rsid w:val="006934B7"/>
    <w:rsid w:val="00693505"/>
    <w:rsid w:val="00693E07"/>
    <w:rsid w:val="00696015"/>
    <w:rsid w:val="006B06D4"/>
    <w:rsid w:val="006D432E"/>
    <w:rsid w:val="0070288C"/>
    <w:rsid w:val="0070314A"/>
    <w:rsid w:val="007121A0"/>
    <w:rsid w:val="0071359E"/>
    <w:rsid w:val="007434A3"/>
    <w:rsid w:val="007436D9"/>
    <w:rsid w:val="00743A12"/>
    <w:rsid w:val="007526CD"/>
    <w:rsid w:val="00762E55"/>
    <w:rsid w:val="00766F93"/>
    <w:rsid w:val="007705F6"/>
    <w:rsid w:val="007731A7"/>
    <w:rsid w:val="0077658B"/>
    <w:rsid w:val="0078452E"/>
    <w:rsid w:val="00785230"/>
    <w:rsid w:val="00791D16"/>
    <w:rsid w:val="007A0278"/>
    <w:rsid w:val="007E15B4"/>
    <w:rsid w:val="007E38BB"/>
    <w:rsid w:val="007F4DF3"/>
    <w:rsid w:val="00806015"/>
    <w:rsid w:val="0083035B"/>
    <w:rsid w:val="0083231F"/>
    <w:rsid w:val="00852D73"/>
    <w:rsid w:val="008734D4"/>
    <w:rsid w:val="00883C94"/>
    <w:rsid w:val="00897243"/>
    <w:rsid w:val="008A3068"/>
    <w:rsid w:val="008B3711"/>
    <w:rsid w:val="008B5D00"/>
    <w:rsid w:val="008C2736"/>
    <w:rsid w:val="008C3490"/>
    <w:rsid w:val="008C669D"/>
    <w:rsid w:val="008E6C14"/>
    <w:rsid w:val="008E729A"/>
    <w:rsid w:val="008F357F"/>
    <w:rsid w:val="008F4A7F"/>
    <w:rsid w:val="008F591A"/>
    <w:rsid w:val="00922288"/>
    <w:rsid w:val="009369CA"/>
    <w:rsid w:val="009455BF"/>
    <w:rsid w:val="009472FF"/>
    <w:rsid w:val="00962773"/>
    <w:rsid w:val="00962873"/>
    <w:rsid w:val="00967D1E"/>
    <w:rsid w:val="009B4EA2"/>
    <w:rsid w:val="009D6279"/>
    <w:rsid w:val="009F12A2"/>
    <w:rsid w:val="00A62D67"/>
    <w:rsid w:val="00A82A31"/>
    <w:rsid w:val="00A94D5B"/>
    <w:rsid w:val="00AB088D"/>
    <w:rsid w:val="00AB1382"/>
    <w:rsid w:val="00AB32A9"/>
    <w:rsid w:val="00AB6728"/>
    <w:rsid w:val="00AD6302"/>
    <w:rsid w:val="00B03471"/>
    <w:rsid w:val="00B221D6"/>
    <w:rsid w:val="00B40066"/>
    <w:rsid w:val="00B60F92"/>
    <w:rsid w:val="00B71FFE"/>
    <w:rsid w:val="00B7340B"/>
    <w:rsid w:val="00BD5503"/>
    <w:rsid w:val="00C15F49"/>
    <w:rsid w:val="00C205D5"/>
    <w:rsid w:val="00C214B8"/>
    <w:rsid w:val="00C27D84"/>
    <w:rsid w:val="00C4780C"/>
    <w:rsid w:val="00C90CE1"/>
    <w:rsid w:val="00C94D88"/>
    <w:rsid w:val="00CB0F0C"/>
    <w:rsid w:val="00CC18C1"/>
    <w:rsid w:val="00CC7D92"/>
    <w:rsid w:val="00CF1847"/>
    <w:rsid w:val="00D041B9"/>
    <w:rsid w:val="00D14AC3"/>
    <w:rsid w:val="00D27B5D"/>
    <w:rsid w:val="00D30B96"/>
    <w:rsid w:val="00D409BB"/>
    <w:rsid w:val="00D850AC"/>
    <w:rsid w:val="00DA1B22"/>
    <w:rsid w:val="00DC3BE4"/>
    <w:rsid w:val="00DC480A"/>
    <w:rsid w:val="00DC501E"/>
    <w:rsid w:val="00DC7511"/>
    <w:rsid w:val="00DD0C70"/>
    <w:rsid w:val="00DF37B5"/>
    <w:rsid w:val="00E15045"/>
    <w:rsid w:val="00E16D56"/>
    <w:rsid w:val="00E60EDE"/>
    <w:rsid w:val="00E616A3"/>
    <w:rsid w:val="00E6694A"/>
    <w:rsid w:val="00E817FE"/>
    <w:rsid w:val="00E92E0A"/>
    <w:rsid w:val="00EB527A"/>
    <w:rsid w:val="00EC330D"/>
    <w:rsid w:val="00EC3D3F"/>
    <w:rsid w:val="00ED4757"/>
    <w:rsid w:val="00EE0E9C"/>
    <w:rsid w:val="00EF1FD0"/>
    <w:rsid w:val="00F2384F"/>
    <w:rsid w:val="00F3692F"/>
    <w:rsid w:val="00F4322E"/>
    <w:rsid w:val="00F47BE2"/>
    <w:rsid w:val="00F5130F"/>
    <w:rsid w:val="00F55E43"/>
    <w:rsid w:val="00F616A9"/>
    <w:rsid w:val="00F804DB"/>
    <w:rsid w:val="00FB3446"/>
    <w:rsid w:val="00FB6F38"/>
    <w:rsid w:val="00FC062E"/>
    <w:rsid w:val="00FC71D5"/>
    <w:rsid w:val="00FD05AB"/>
    <w:rsid w:val="00FF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32B"/>
    <w:pPr>
      <w:spacing w:after="200" w:line="276" w:lineRule="auto"/>
    </w:pPr>
    <w:rPr>
      <w:rFonts w:cs="Calibri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5E261F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rsid w:val="005E261F"/>
    <w:rPr>
      <w:rFonts w:ascii="Cambria" w:hAnsi="Cambria" w:cs="Cambria"/>
      <w:b/>
      <w:bCs/>
      <w:color w:val="365F91"/>
      <w:sz w:val="28"/>
      <w:szCs w:val="28"/>
    </w:rPr>
  </w:style>
  <w:style w:type="paragraph" w:styleId="En-tte">
    <w:name w:val="header"/>
    <w:basedOn w:val="Normal"/>
    <w:link w:val="En-tteCar"/>
    <w:uiPriority w:val="99"/>
    <w:rsid w:val="005E2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E261F"/>
  </w:style>
  <w:style w:type="paragraph" w:styleId="Pieddepage">
    <w:name w:val="footer"/>
    <w:basedOn w:val="Normal"/>
    <w:link w:val="PieddepageCar"/>
    <w:uiPriority w:val="99"/>
    <w:rsid w:val="005E2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E261F"/>
  </w:style>
  <w:style w:type="paragraph" w:styleId="Textedebulles">
    <w:name w:val="Balloon Text"/>
    <w:basedOn w:val="Normal"/>
    <w:link w:val="TextedebullesCar"/>
    <w:uiPriority w:val="99"/>
    <w:semiHidden/>
    <w:rsid w:val="005E2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261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3692F"/>
    <w:pPr>
      <w:ind w:left="720"/>
      <w:contextualSpacing/>
    </w:pPr>
  </w:style>
  <w:style w:type="paragraph" w:customStyle="1" w:styleId="CarCar1">
    <w:name w:val="Car Car1"/>
    <w:basedOn w:val="Normal"/>
    <w:uiPriority w:val="99"/>
    <w:rsid w:val="003159AB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</w:rPr>
  </w:style>
  <w:style w:type="character" w:styleId="Lienhypertexte">
    <w:name w:val="Hyperlink"/>
    <w:basedOn w:val="Policepardfaut"/>
    <w:uiPriority w:val="99"/>
    <w:rsid w:val="003159AB"/>
    <w:rPr>
      <w:color w:val="0000FF"/>
      <w:u w:val="single"/>
    </w:rPr>
  </w:style>
  <w:style w:type="character" w:customStyle="1" w:styleId="Car">
    <w:name w:val="Car"/>
    <w:basedOn w:val="Policepardfaut"/>
    <w:uiPriority w:val="99"/>
    <w:rsid w:val="003159AB"/>
    <w:rPr>
      <w:sz w:val="22"/>
      <w:szCs w:val="22"/>
      <w:lang w:val="fr-FR" w:eastAsia="ar-SA" w:bidi="ar-SA"/>
    </w:rPr>
  </w:style>
  <w:style w:type="character" w:styleId="Numrodepage">
    <w:name w:val="page number"/>
    <w:basedOn w:val="Policepardfaut"/>
    <w:uiPriority w:val="99"/>
    <w:rsid w:val="00DC7511"/>
  </w:style>
  <w:style w:type="table" w:styleId="Grilledutableau">
    <w:name w:val="Table Grid"/>
    <w:basedOn w:val="TableauNormal"/>
    <w:uiPriority w:val="59"/>
    <w:rsid w:val="00620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32B"/>
    <w:pPr>
      <w:spacing w:after="200" w:line="276" w:lineRule="auto"/>
    </w:pPr>
    <w:rPr>
      <w:rFonts w:cs="Calibri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5E261F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rsid w:val="005E261F"/>
    <w:rPr>
      <w:rFonts w:ascii="Cambria" w:hAnsi="Cambria" w:cs="Cambria"/>
      <w:b/>
      <w:bCs/>
      <w:color w:val="365F91"/>
      <w:sz w:val="28"/>
      <w:szCs w:val="28"/>
    </w:rPr>
  </w:style>
  <w:style w:type="paragraph" w:styleId="En-tte">
    <w:name w:val="header"/>
    <w:basedOn w:val="Normal"/>
    <w:link w:val="En-tteCar"/>
    <w:uiPriority w:val="99"/>
    <w:rsid w:val="005E2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E261F"/>
  </w:style>
  <w:style w:type="paragraph" w:styleId="Pieddepage">
    <w:name w:val="footer"/>
    <w:basedOn w:val="Normal"/>
    <w:link w:val="PieddepageCar"/>
    <w:uiPriority w:val="99"/>
    <w:rsid w:val="005E2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E261F"/>
  </w:style>
  <w:style w:type="paragraph" w:styleId="Textedebulles">
    <w:name w:val="Balloon Text"/>
    <w:basedOn w:val="Normal"/>
    <w:link w:val="TextedebullesCar"/>
    <w:uiPriority w:val="99"/>
    <w:semiHidden/>
    <w:rsid w:val="005E2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261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3692F"/>
    <w:pPr>
      <w:ind w:left="720"/>
      <w:contextualSpacing/>
    </w:pPr>
  </w:style>
  <w:style w:type="paragraph" w:customStyle="1" w:styleId="CarCar1">
    <w:name w:val="Car Car1"/>
    <w:basedOn w:val="Normal"/>
    <w:uiPriority w:val="99"/>
    <w:rsid w:val="003159AB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</w:rPr>
  </w:style>
  <w:style w:type="character" w:styleId="Lienhypertexte">
    <w:name w:val="Hyperlink"/>
    <w:basedOn w:val="Policepardfaut"/>
    <w:uiPriority w:val="99"/>
    <w:rsid w:val="003159AB"/>
    <w:rPr>
      <w:color w:val="0000FF"/>
      <w:u w:val="single"/>
    </w:rPr>
  </w:style>
  <w:style w:type="character" w:customStyle="1" w:styleId="Car">
    <w:name w:val="Car"/>
    <w:basedOn w:val="Policepardfaut"/>
    <w:uiPriority w:val="99"/>
    <w:rsid w:val="003159AB"/>
    <w:rPr>
      <w:sz w:val="22"/>
      <w:szCs w:val="22"/>
      <w:lang w:val="fr-FR" w:eastAsia="ar-SA" w:bidi="ar-SA"/>
    </w:rPr>
  </w:style>
  <w:style w:type="character" w:styleId="Numrodepage">
    <w:name w:val="page number"/>
    <w:basedOn w:val="Policepardfaut"/>
    <w:uiPriority w:val="99"/>
    <w:rsid w:val="00DC7511"/>
  </w:style>
  <w:style w:type="table" w:styleId="Grilledutableau">
    <w:name w:val="Table Grid"/>
    <w:basedOn w:val="TableauNormal"/>
    <w:uiPriority w:val="59"/>
    <w:rsid w:val="00620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gain indiciaire avancement d'échelon</a:t>
            </a:r>
          </a:p>
        </c:rich>
      </c:tx>
      <c:overlay val="1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'CAT C'!$L$44</c:f>
              <c:strCache>
                <c:ptCount val="1"/>
                <c:pt idx="0">
                  <c:v>E3</c:v>
                </c:pt>
              </c:strCache>
            </c:strRef>
          </c:tx>
          <c:marker>
            <c:symbol val="none"/>
          </c:marker>
          <c:cat>
            <c:numRef>
              <c:f>'CAT C'!$K$45:$K$55</c:f>
              <c:numCache>
                <c:formatCode>General</c:formatCode>
                <c:ptCount val="1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</c:numCache>
            </c:numRef>
          </c:cat>
          <c:val>
            <c:numRef>
              <c:f>'CAT C'!$L$45:$L$54</c:f>
              <c:numCache>
                <c:formatCode>General</c:formatCode>
                <c:ptCount val="10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2</c:v>
                </c:pt>
                <c:pt idx="6">
                  <c:v>4</c:v>
                </c:pt>
                <c:pt idx="7">
                  <c:v>6</c:v>
                </c:pt>
                <c:pt idx="8">
                  <c:v>12</c:v>
                </c:pt>
                <c:pt idx="9">
                  <c:v>13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'CAT C'!$M$44</c:f>
              <c:strCache>
                <c:ptCount val="1"/>
                <c:pt idx="0">
                  <c:v>E4</c:v>
                </c:pt>
              </c:strCache>
            </c:strRef>
          </c:tx>
          <c:marker>
            <c:symbol val="none"/>
          </c:marker>
          <c:cat>
            <c:numRef>
              <c:f>'CAT C'!$K$45:$K$55</c:f>
              <c:numCache>
                <c:formatCode>General</c:formatCode>
                <c:ptCount val="1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</c:numCache>
            </c:numRef>
          </c:cat>
          <c:val>
            <c:numRef>
              <c:f>'CAT C'!$M$45:$M$55</c:f>
              <c:numCache>
                <c:formatCode>General</c:formatCode>
                <c:ptCount val="11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13</c:v>
                </c:pt>
                <c:pt idx="7">
                  <c:v>9</c:v>
                </c:pt>
                <c:pt idx="8">
                  <c:v>14</c:v>
                </c:pt>
                <c:pt idx="9">
                  <c:v>7</c:v>
                </c:pt>
                <c:pt idx="10">
                  <c:v>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'CAT C'!$N$44</c:f>
              <c:strCache>
                <c:ptCount val="1"/>
                <c:pt idx="0">
                  <c:v>E5</c:v>
                </c:pt>
              </c:strCache>
            </c:strRef>
          </c:tx>
          <c:marker>
            <c:symbol val="none"/>
          </c:marker>
          <c:cat>
            <c:numRef>
              <c:f>'CAT C'!$K$45:$K$55</c:f>
              <c:numCache>
                <c:formatCode>General</c:formatCode>
                <c:ptCount val="1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</c:numCache>
            </c:numRef>
          </c:cat>
          <c:val>
            <c:numRef>
              <c:f>'CAT C'!$N$45:$N$55</c:f>
              <c:numCache>
                <c:formatCode>General</c:formatCode>
                <c:ptCount val="11"/>
                <c:pt idx="0">
                  <c:v>1</c:v>
                </c:pt>
                <c:pt idx="1">
                  <c:v>1</c:v>
                </c:pt>
                <c:pt idx="2">
                  <c:v>2</c:v>
                </c:pt>
                <c:pt idx="3">
                  <c:v>2</c:v>
                </c:pt>
                <c:pt idx="4">
                  <c:v>7</c:v>
                </c:pt>
                <c:pt idx="5">
                  <c:v>7</c:v>
                </c:pt>
                <c:pt idx="6">
                  <c:v>14</c:v>
                </c:pt>
                <c:pt idx="7">
                  <c:v>16</c:v>
                </c:pt>
                <c:pt idx="8">
                  <c:v>9</c:v>
                </c:pt>
                <c:pt idx="9">
                  <c:v>13</c:v>
                </c:pt>
                <c:pt idx="10">
                  <c:v>9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'CAT C'!$O$44</c:f>
              <c:strCache>
                <c:ptCount val="1"/>
                <c:pt idx="0">
                  <c:v>E6</c:v>
                </c:pt>
              </c:strCache>
            </c:strRef>
          </c:tx>
          <c:marker>
            <c:symbol val="none"/>
          </c:marker>
          <c:cat>
            <c:numRef>
              <c:f>'CAT C'!$K$45:$K$55</c:f>
              <c:numCache>
                <c:formatCode>General</c:formatCode>
                <c:ptCount val="1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</c:numCache>
            </c:numRef>
          </c:cat>
          <c:val>
            <c:numRef>
              <c:f>'CAT C'!$O$45:$O$52</c:f>
              <c:numCache>
                <c:formatCode>General</c:formatCode>
                <c:ptCount val="8"/>
                <c:pt idx="0">
                  <c:v>7</c:v>
                </c:pt>
                <c:pt idx="1">
                  <c:v>10</c:v>
                </c:pt>
                <c:pt idx="2">
                  <c:v>15</c:v>
                </c:pt>
                <c:pt idx="3">
                  <c:v>16</c:v>
                </c:pt>
                <c:pt idx="4">
                  <c:v>14</c:v>
                </c:pt>
                <c:pt idx="5">
                  <c:v>22</c:v>
                </c:pt>
                <c:pt idx="6">
                  <c:v>14</c:v>
                </c:pt>
                <c:pt idx="7">
                  <c:v>26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3959168"/>
        <c:axId val="143961088"/>
      </c:lineChart>
      <c:catAx>
        <c:axId val="14395916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Echelons d'origine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43961088"/>
        <c:crosses val="autoZero"/>
        <c:auto val="1"/>
        <c:lblAlgn val="ctr"/>
        <c:lblOffset val="100"/>
        <c:noMultiLvlLbl val="0"/>
      </c:catAx>
      <c:valAx>
        <c:axId val="14396108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Gain en indice majoré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43959168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anchor="t" anchorCtr="0"/>
          <a:lstStyle/>
          <a:p>
            <a:pPr>
              <a:defRPr/>
            </a:pPr>
            <a:r>
              <a:rPr lang="en-US"/>
              <a:t>gain indiciaire avancement</a:t>
            </a:r>
            <a:r>
              <a:rPr lang="en-US" baseline="0"/>
              <a:t> </a:t>
            </a:r>
            <a:r>
              <a:rPr lang="en-US"/>
              <a:t>d'échelon</a:t>
            </a:r>
          </a:p>
        </c:rich>
      </c:tx>
      <c:layout>
        <c:manualLayout>
          <c:xMode val="edge"/>
          <c:yMode val="edge"/>
          <c:x val="0.15707650467742165"/>
          <c:y val="4.8417132216014895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0160039370078741"/>
          <c:y val="5.1400554097404488E-2"/>
          <c:w val="0.68552362204724404"/>
          <c:h val="0.73076115485564308"/>
        </c:manualLayout>
      </c:layout>
      <c:lineChart>
        <c:grouping val="standard"/>
        <c:varyColors val="0"/>
        <c:ser>
          <c:idx val="0"/>
          <c:order val="0"/>
          <c:tx>
            <c:strRef>
              <c:f>NES!$M$39</c:f>
              <c:strCache>
                <c:ptCount val="1"/>
                <c:pt idx="0">
                  <c:v>NES1</c:v>
                </c:pt>
              </c:strCache>
            </c:strRef>
          </c:tx>
          <c:marker>
            <c:symbol val="none"/>
          </c:marker>
          <c:cat>
            <c:numRef>
              <c:f>NES!$L$40:$L$51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cat>
          <c:val>
            <c:numRef>
              <c:f>NES!$M$40:$M$51</c:f>
              <c:numCache>
                <c:formatCode>General</c:formatCode>
                <c:ptCount val="12"/>
                <c:pt idx="0">
                  <c:v>3</c:v>
                </c:pt>
                <c:pt idx="1">
                  <c:v>3</c:v>
                </c:pt>
                <c:pt idx="2">
                  <c:v>3</c:v>
                </c:pt>
                <c:pt idx="3">
                  <c:v>10</c:v>
                </c:pt>
                <c:pt idx="4">
                  <c:v>13</c:v>
                </c:pt>
                <c:pt idx="5">
                  <c:v>13</c:v>
                </c:pt>
                <c:pt idx="6">
                  <c:v>15</c:v>
                </c:pt>
                <c:pt idx="7">
                  <c:v>14</c:v>
                </c:pt>
                <c:pt idx="8">
                  <c:v>22</c:v>
                </c:pt>
                <c:pt idx="9">
                  <c:v>21</c:v>
                </c:pt>
                <c:pt idx="10">
                  <c:v>23</c:v>
                </c:pt>
                <c:pt idx="11">
                  <c:v>20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NES!$N$39</c:f>
              <c:strCache>
                <c:ptCount val="1"/>
                <c:pt idx="0">
                  <c:v>NES2</c:v>
                </c:pt>
              </c:strCache>
            </c:strRef>
          </c:tx>
          <c:marker>
            <c:symbol val="none"/>
          </c:marker>
          <c:cat>
            <c:numRef>
              <c:f>NES!$L$40:$L$51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cat>
          <c:val>
            <c:numRef>
              <c:f>NES!$N$40:$N$51</c:f>
              <c:numCache>
                <c:formatCode>General</c:formatCode>
                <c:ptCount val="12"/>
                <c:pt idx="0">
                  <c:v>5</c:v>
                </c:pt>
                <c:pt idx="1">
                  <c:v>8</c:v>
                </c:pt>
                <c:pt idx="2">
                  <c:v>8</c:v>
                </c:pt>
                <c:pt idx="3">
                  <c:v>13</c:v>
                </c:pt>
                <c:pt idx="4">
                  <c:v>14</c:v>
                </c:pt>
                <c:pt idx="5">
                  <c:v>15</c:v>
                </c:pt>
                <c:pt idx="6">
                  <c:v>15</c:v>
                </c:pt>
                <c:pt idx="7">
                  <c:v>20</c:v>
                </c:pt>
                <c:pt idx="8">
                  <c:v>20</c:v>
                </c:pt>
                <c:pt idx="9">
                  <c:v>23</c:v>
                </c:pt>
                <c:pt idx="10">
                  <c:v>23</c:v>
                </c:pt>
                <c:pt idx="11">
                  <c:v>24</c:v>
                </c:pt>
              </c:numCache>
            </c:numRef>
          </c:val>
          <c:smooth val="0"/>
        </c:ser>
        <c:ser>
          <c:idx val="3"/>
          <c:order val="2"/>
          <c:tx>
            <c:strRef>
              <c:f>NES!$O$39</c:f>
              <c:strCache>
                <c:ptCount val="1"/>
                <c:pt idx="0">
                  <c:v>NES3</c:v>
                </c:pt>
              </c:strCache>
            </c:strRef>
          </c:tx>
          <c:marker>
            <c:symbol val="none"/>
          </c:marker>
          <c:cat>
            <c:numRef>
              <c:f>NES!$L$40:$L$51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cat>
          <c:val>
            <c:numRef>
              <c:f>NES!$O$40:$O$49</c:f>
              <c:numCache>
                <c:formatCode>General</c:formatCode>
                <c:ptCount val="10"/>
                <c:pt idx="0">
                  <c:v>15</c:v>
                </c:pt>
                <c:pt idx="1">
                  <c:v>15</c:v>
                </c:pt>
                <c:pt idx="2">
                  <c:v>15</c:v>
                </c:pt>
                <c:pt idx="3">
                  <c:v>18</c:v>
                </c:pt>
                <c:pt idx="4">
                  <c:v>21</c:v>
                </c:pt>
                <c:pt idx="5">
                  <c:v>22</c:v>
                </c:pt>
                <c:pt idx="6">
                  <c:v>23</c:v>
                </c:pt>
                <c:pt idx="7">
                  <c:v>25</c:v>
                </c:pt>
                <c:pt idx="8">
                  <c:v>21</c:v>
                </c:pt>
                <c:pt idx="9">
                  <c:v>22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8129664"/>
        <c:axId val="168131584"/>
      </c:lineChart>
      <c:catAx>
        <c:axId val="16812966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Echelons d'origine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68131584"/>
        <c:crosses val="autoZero"/>
        <c:auto val="1"/>
        <c:lblAlgn val="ctr"/>
        <c:lblOffset val="100"/>
        <c:noMultiLvlLbl val="0"/>
      </c:catAx>
      <c:valAx>
        <c:axId val="1681315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fr-FR"/>
                  <a:t>gain en indice majoré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68129664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gain indiciaire avancement d'échelon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Feuil3!$K$20</c:f>
              <c:strCache>
                <c:ptCount val="1"/>
                <c:pt idx="0">
                  <c:v>1er grade</c:v>
                </c:pt>
              </c:strCache>
            </c:strRef>
          </c:tx>
          <c:marker>
            <c:symbol val="none"/>
          </c:marker>
          <c:cat>
            <c:numRef>
              <c:f>Feuil3!$J$21:$J$31</c:f>
              <c:numCache>
                <c:formatCode>General</c:formatCode>
                <c:ptCount val="1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</c:numCache>
            </c:numRef>
          </c:cat>
          <c:val>
            <c:numRef>
              <c:f>Feuil3!$K$21:$K$31</c:f>
              <c:numCache>
                <c:formatCode>General</c:formatCode>
                <c:ptCount val="11"/>
                <c:pt idx="0">
                  <c:v>11</c:v>
                </c:pt>
                <c:pt idx="1">
                  <c:v>13</c:v>
                </c:pt>
                <c:pt idx="2">
                  <c:v>19</c:v>
                </c:pt>
                <c:pt idx="3">
                  <c:v>23</c:v>
                </c:pt>
                <c:pt idx="4">
                  <c:v>30</c:v>
                </c:pt>
                <c:pt idx="5">
                  <c:v>35</c:v>
                </c:pt>
                <c:pt idx="6">
                  <c:v>28</c:v>
                </c:pt>
                <c:pt idx="7">
                  <c:v>21</c:v>
                </c:pt>
                <c:pt idx="8">
                  <c:v>39</c:v>
                </c:pt>
                <c:pt idx="9">
                  <c:v>42</c:v>
                </c:pt>
                <c:pt idx="10">
                  <c:v>32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Feuil3!$L$20</c:f>
              <c:strCache>
                <c:ptCount val="1"/>
                <c:pt idx="0">
                  <c:v>2ème grade</c:v>
                </c:pt>
              </c:strCache>
            </c:strRef>
          </c:tx>
          <c:marker>
            <c:symbol val="none"/>
          </c:marker>
          <c:cat>
            <c:numRef>
              <c:f>Feuil3!$J$21:$J$31</c:f>
              <c:numCache>
                <c:formatCode>General</c:formatCode>
                <c:ptCount val="1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</c:numCache>
            </c:numRef>
          </c:cat>
          <c:val>
            <c:numRef>
              <c:f>Feuil3!$L$21:$L$31</c:f>
              <c:numCache>
                <c:formatCode>General</c:formatCode>
                <c:ptCount val="11"/>
                <c:pt idx="0">
                  <c:v>49</c:v>
                </c:pt>
                <c:pt idx="1">
                  <c:v>34</c:v>
                </c:pt>
                <c:pt idx="2">
                  <c:v>34</c:v>
                </c:pt>
                <c:pt idx="3">
                  <c:v>39</c:v>
                </c:pt>
                <c:pt idx="4">
                  <c:v>36</c:v>
                </c:pt>
                <c:pt idx="5">
                  <c:v>47</c:v>
                </c:pt>
                <c:pt idx="6">
                  <c:v>33</c:v>
                </c:pt>
                <c:pt idx="7">
                  <c:v>40</c:v>
                </c:pt>
                <c:pt idx="8">
                  <c:v>37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3472512"/>
        <c:axId val="183474432"/>
      </c:lineChart>
      <c:catAx>
        <c:axId val="1834725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échelons d'origine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3474432"/>
        <c:crosses val="autoZero"/>
        <c:auto val="1"/>
        <c:lblAlgn val="ctr"/>
        <c:lblOffset val="100"/>
        <c:noMultiLvlLbl val="0"/>
      </c:catAx>
      <c:valAx>
        <c:axId val="18347443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gain en indice majoré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3472512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Gain indiciaire avancement de grade</a:t>
            </a:r>
          </a:p>
        </c:rich>
      </c:tx>
      <c:overlay val="1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'CAT C'!$N$61</c:f>
              <c:strCache>
                <c:ptCount val="1"/>
                <c:pt idx="0">
                  <c:v>E4</c:v>
                </c:pt>
              </c:strCache>
            </c:strRef>
          </c:tx>
          <c:marker>
            <c:symbol val="none"/>
          </c:marker>
          <c:cat>
            <c:numRef>
              <c:f>'CAT C'!$L$63:$L$71</c:f>
              <c:numCache>
                <c:formatCode>General</c:formatCode>
                <c:ptCount val="9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</c:v>
                </c:pt>
                <c:pt idx="5">
                  <c:v>9</c:v>
                </c:pt>
                <c:pt idx="6">
                  <c:v>10</c:v>
                </c:pt>
                <c:pt idx="7">
                  <c:v>11</c:v>
                </c:pt>
                <c:pt idx="8">
                  <c:v>12</c:v>
                </c:pt>
              </c:numCache>
            </c:numRef>
          </c:cat>
          <c:val>
            <c:numRef>
              <c:f>'CAT C'!$N$63:$N$70</c:f>
              <c:numCache>
                <c:formatCode>General</c:formatCode>
                <c:ptCount val="8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13</c:v>
                </c:pt>
                <c:pt idx="5">
                  <c:v>16</c:v>
                </c:pt>
                <c:pt idx="6">
                  <c:v>18</c:v>
                </c:pt>
                <c:pt idx="7">
                  <c:v>12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'CAT C'!$O$61</c:f>
              <c:strCache>
                <c:ptCount val="1"/>
                <c:pt idx="0">
                  <c:v>E5</c:v>
                </c:pt>
              </c:strCache>
            </c:strRef>
          </c:tx>
          <c:marker>
            <c:symbol val="none"/>
          </c:marker>
          <c:cat>
            <c:numRef>
              <c:f>'CAT C'!$L$63:$L$71</c:f>
              <c:numCache>
                <c:formatCode>General</c:formatCode>
                <c:ptCount val="9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</c:v>
                </c:pt>
                <c:pt idx="5">
                  <c:v>9</c:v>
                </c:pt>
                <c:pt idx="6">
                  <c:v>10</c:v>
                </c:pt>
                <c:pt idx="7">
                  <c:v>11</c:v>
                </c:pt>
                <c:pt idx="8">
                  <c:v>12</c:v>
                </c:pt>
              </c:numCache>
            </c:numRef>
          </c:cat>
          <c:val>
            <c:numRef>
              <c:f>'CAT C'!$O$63:$O$71</c:f>
              <c:numCache>
                <c:formatCode>General</c:formatCode>
                <c:ptCount val="9"/>
                <c:pt idx="1">
                  <c:v>5</c:v>
                </c:pt>
                <c:pt idx="2">
                  <c:v>10</c:v>
                </c:pt>
                <c:pt idx="3">
                  <c:v>14</c:v>
                </c:pt>
                <c:pt idx="4">
                  <c:v>15</c:v>
                </c:pt>
                <c:pt idx="5">
                  <c:v>22</c:v>
                </c:pt>
                <c:pt idx="6">
                  <c:v>17</c:v>
                </c:pt>
                <c:pt idx="7">
                  <c:v>23</c:v>
                </c:pt>
                <c:pt idx="8">
                  <c:v>25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'CAT C'!$P$61</c:f>
              <c:strCache>
                <c:ptCount val="1"/>
                <c:pt idx="0">
                  <c:v>E6</c:v>
                </c:pt>
              </c:strCache>
            </c:strRef>
          </c:tx>
          <c:marker>
            <c:symbol val="none"/>
          </c:marker>
          <c:cat>
            <c:numRef>
              <c:f>'CAT C'!$L$63:$L$71</c:f>
              <c:numCache>
                <c:formatCode>General</c:formatCode>
                <c:ptCount val="9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</c:v>
                </c:pt>
                <c:pt idx="5">
                  <c:v>9</c:v>
                </c:pt>
                <c:pt idx="6">
                  <c:v>10</c:v>
                </c:pt>
                <c:pt idx="7">
                  <c:v>11</c:v>
                </c:pt>
                <c:pt idx="8">
                  <c:v>12</c:v>
                </c:pt>
              </c:numCache>
            </c:numRef>
          </c:cat>
          <c:val>
            <c:numRef>
              <c:f>'CAT C'!$P$63:$P$71</c:f>
              <c:numCache>
                <c:formatCode>General</c:formatCode>
                <c:ptCount val="9"/>
                <c:pt idx="1">
                  <c:v>6</c:v>
                </c:pt>
                <c:pt idx="2">
                  <c:v>6</c:v>
                </c:pt>
                <c:pt idx="3">
                  <c:v>9</c:v>
                </c:pt>
                <c:pt idx="4">
                  <c:v>10</c:v>
                </c:pt>
                <c:pt idx="5">
                  <c:v>10</c:v>
                </c:pt>
                <c:pt idx="6">
                  <c:v>15</c:v>
                </c:pt>
                <c:pt idx="7">
                  <c:v>2</c:v>
                </c:pt>
                <c:pt idx="8">
                  <c:v>15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3075200"/>
        <c:axId val="183077120"/>
      </c:lineChart>
      <c:catAx>
        <c:axId val="1830752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échelons d'origine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3077120"/>
        <c:crosses val="autoZero"/>
        <c:auto val="1"/>
        <c:lblAlgn val="ctr"/>
        <c:lblOffset val="100"/>
        <c:noMultiLvlLbl val="0"/>
      </c:catAx>
      <c:valAx>
        <c:axId val="18307712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Gain</a:t>
                </a:r>
                <a:r>
                  <a:rPr lang="en-US" baseline="0"/>
                  <a:t> en </a:t>
                </a:r>
                <a:r>
                  <a:rPr lang="en-US"/>
                  <a:t> indice majoré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3075200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fr-FR"/>
              <a:t>gain indiciaire avancement</a:t>
            </a:r>
            <a:r>
              <a:rPr lang="fr-FR" baseline="0"/>
              <a:t> de grade</a:t>
            </a:r>
            <a:endParaRPr lang="fr-FR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NES!$M$56</c:f>
              <c:strCache>
                <c:ptCount val="1"/>
                <c:pt idx="0">
                  <c:v>NES2</c:v>
                </c:pt>
              </c:strCache>
            </c:strRef>
          </c:tx>
          <c:marker>
            <c:symbol val="none"/>
          </c:marker>
          <c:cat>
            <c:strRef>
              <c:f>NES!$K$58:$L$67</c:f>
              <c:strCache>
                <c:ptCount val="10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</c:v>
                </c:pt>
                <c:pt idx="5">
                  <c:v>9</c:v>
                </c:pt>
                <c:pt idx="6">
                  <c:v>10</c:v>
                </c:pt>
                <c:pt idx="7">
                  <c:v>11</c:v>
                </c:pt>
                <c:pt idx="8">
                  <c:v>12</c:v>
                </c:pt>
                <c:pt idx="9">
                  <c:v>13</c:v>
                </c:pt>
              </c:strCache>
            </c:strRef>
          </c:cat>
          <c:val>
            <c:numRef>
              <c:f>NES!$M$58:$M$67</c:f>
              <c:numCache>
                <c:formatCode>General</c:formatCode>
                <c:ptCount val="10"/>
                <c:pt idx="0">
                  <c:v>13</c:v>
                </c:pt>
                <c:pt idx="1">
                  <c:v>3</c:v>
                </c:pt>
                <c:pt idx="2">
                  <c:v>3</c:v>
                </c:pt>
                <c:pt idx="3">
                  <c:v>4</c:v>
                </c:pt>
                <c:pt idx="4">
                  <c:v>4</c:v>
                </c:pt>
                <c:pt idx="5">
                  <c:v>5</c:v>
                </c:pt>
                <c:pt idx="6">
                  <c:v>3</c:v>
                </c:pt>
                <c:pt idx="7">
                  <c:v>2</c:v>
                </c:pt>
                <c:pt idx="8">
                  <c:v>2</c:v>
                </c:pt>
                <c:pt idx="9">
                  <c:v>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NES!$M$56</c:f>
              <c:strCache>
                <c:ptCount val="1"/>
                <c:pt idx="0">
                  <c:v>NES2</c:v>
                </c:pt>
              </c:strCache>
            </c:strRef>
          </c:tx>
          <c:marker>
            <c:symbol val="none"/>
          </c:marker>
          <c:cat>
            <c:strRef>
              <c:f>NES!$K$58:$L$67</c:f>
              <c:strCache>
                <c:ptCount val="10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</c:v>
                </c:pt>
                <c:pt idx="5">
                  <c:v>9</c:v>
                </c:pt>
                <c:pt idx="6">
                  <c:v>10</c:v>
                </c:pt>
                <c:pt idx="7">
                  <c:v>11</c:v>
                </c:pt>
                <c:pt idx="8">
                  <c:v>12</c:v>
                </c:pt>
                <c:pt idx="9">
                  <c:v>13</c:v>
                </c:pt>
              </c:strCache>
            </c:strRef>
          </c:cat>
          <c:val>
            <c:numRef>
              <c:f>NES!$N$58:$N$67</c:f>
              <c:numCache>
                <c:formatCode>General</c:formatCode>
                <c:ptCount val="10"/>
                <c:pt idx="1">
                  <c:v>16</c:v>
                </c:pt>
                <c:pt idx="2">
                  <c:v>17</c:v>
                </c:pt>
                <c:pt idx="3">
                  <c:v>19</c:v>
                </c:pt>
                <c:pt idx="4">
                  <c:v>19</c:v>
                </c:pt>
                <c:pt idx="5">
                  <c:v>25</c:v>
                </c:pt>
                <c:pt idx="6">
                  <c:v>23</c:v>
                </c:pt>
                <c:pt idx="7">
                  <c:v>25</c:v>
                </c:pt>
                <c:pt idx="8">
                  <c:v>25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NES!$O$56</c:f>
              <c:strCache>
                <c:ptCount val="1"/>
                <c:pt idx="0">
                  <c:v>NES3</c:v>
                </c:pt>
              </c:strCache>
            </c:strRef>
          </c:tx>
          <c:marker>
            <c:symbol val="none"/>
          </c:marker>
          <c:cat>
            <c:strRef>
              <c:f>NES!$K$58:$L$67</c:f>
              <c:strCache>
                <c:ptCount val="10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</c:v>
                </c:pt>
                <c:pt idx="5">
                  <c:v>9</c:v>
                </c:pt>
                <c:pt idx="6">
                  <c:v>10</c:v>
                </c:pt>
                <c:pt idx="7">
                  <c:v>11</c:v>
                </c:pt>
                <c:pt idx="8">
                  <c:v>12</c:v>
                </c:pt>
                <c:pt idx="9">
                  <c:v>13</c:v>
                </c:pt>
              </c:strCache>
            </c:strRef>
          </c:cat>
          <c:val>
            <c:numRef>
              <c:f>NES!$O$58:$O$67</c:f>
              <c:numCache>
                <c:formatCode>General</c:formatCode>
                <c:ptCount val="10"/>
                <c:pt idx="2">
                  <c:v>5</c:v>
                </c:pt>
                <c:pt idx="3">
                  <c:v>5</c:v>
                </c:pt>
                <c:pt idx="4">
                  <c:v>5</c:v>
                </c:pt>
                <c:pt idx="5">
                  <c:v>3</c:v>
                </c:pt>
                <c:pt idx="6">
                  <c:v>4</c:v>
                </c:pt>
                <c:pt idx="7">
                  <c:v>3</c:v>
                </c:pt>
                <c:pt idx="8">
                  <c:v>3</c:v>
                </c:pt>
                <c:pt idx="9">
                  <c:v>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5512320"/>
        <c:axId val="185514240"/>
      </c:lineChart>
      <c:catAx>
        <c:axId val="18551232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echelons d'origine dans le grade subordonné</a:t>
                </a:r>
              </a:p>
            </c:rich>
          </c:tx>
          <c:overlay val="0"/>
        </c:title>
        <c:majorTickMark val="out"/>
        <c:minorTickMark val="none"/>
        <c:tickLblPos val="nextTo"/>
        <c:crossAx val="185514240"/>
        <c:crosses val="autoZero"/>
        <c:auto val="1"/>
        <c:lblAlgn val="ctr"/>
        <c:lblOffset val="100"/>
        <c:noMultiLvlLbl val="0"/>
      </c:catAx>
      <c:valAx>
        <c:axId val="18551424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gain en indice majoré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5512320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Gain indiciaire avancement de grade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Feuil3!$K$37</c:f>
              <c:strCache>
                <c:ptCount val="1"/>
                <c:pt idx="0">
                  <c:v>2ème grade</c:v>
                </c:pt>
              </c:strCache>
            </c:strRef>
          </c:tx>
          <c:marker>
            <c:symbol val="none"/>
          </c:marker>
          <c:cat>
            <c:numRef>
              <c:f>Feuil3!$J$38:$J$45</c:f>
              <c:numCache>
                <c:formatCode>General</c:formatCode>
                <c:ptCount val="8"/>
                <c:pt idx="0">
                  <c:v>5</c:v>
                </c:pt>
                <c:pt idx="1">
                  <c:v>6</c:v>
                </c:pt>
                <c:pt idx="2">
                  <c:v>7</c:v>
                </c:pt>
                <c:pt idx="3">
                  <c:v>8</c:v>
                </c:pt>
                <c:pt idx="4">
                  <c:v>9</c:v>
                </c:pt>
                <c:pt idx="5">
                  <c:v>10</c:v>
                </c:pt>
                <c:pt idx="6">
                  <c:v>11</c:v>
                </c:pt>
                <c:pt idx="7">
                  <c:v>12</c:v>
                </c:pt>
              </c:numCache>
            </c:numRef>
          </c:cat>
          <c:val>
            <c:numRef>
              <c:f>Feuil3!$K$38:$K$45</c:f>
              <c:numCache>
                <c:formatCode>General</c:formatCode>
                <c:ptCount val="8"/>
                <c:pt idx="0">
                  <c:v>3</c:v>
                </c:pt>
                <c:pt idx="1">
                  <c:v>22</c:v>
                </c:pt>
                <c:pt idx="2">
                  <c:v>21</c:v>
                </c:pt>
                <c:pt idx="3">
                  <c:v>27</c:v>
                </c:pt>
                <c:pt idx="4">
                  <c:v>6</c:v>
                </c:pt>
                <c:pt idx="5">
                  <c:v>6</c:v>
                </c:pt>
                <c:pt idx="6">
                  <c:v>0</c:v>
                </c:pt>
                <c:pt idx="7">
                  <c:v>15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7935360"/>
        <c:axId val="187937536"/>
      </c:lineChart>
      <c:catAx>
        <c:axId val="1879353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Echelons d'origine dans le grade</a:t>
                </a:r>
                <a:r>
                  <a:rPr lang="en-US" baseline="0"/>
                  <a:t> subordonné</a:t>
                </a:r>
                <a:r>
                  <a:rPr lang="en-US"/>
                  <a:t>  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7937536"/>
        <c:crosses val="autoZero"/>
        <c:auto val="1"/>
        <c:lblAlgn val="ctr"/>
        <c:lblOffset val="100"/>
        <c:noMultiLvlLbl val="0"/>
      </c:catAx>
      <c:valAx>
        <c:axId val="18793753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gain en indice majoré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7935360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B4392-E369-4B45-A027-8E033811B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1122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1-</vt:lpstr>
    </vt:vector>
  </TitlesOfParts>
  <Company>MINEFI</Company>
  <LinksUpToDate>false</LinksUpToDate>
  <CharactersWithSpaces>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</dc:title>
  <dc:creator>Diane Laroche-Joubert</dc:creator>
  <cp:lastModifiedBy>GRONNER Veronique</cp:lastModifiedBy>
  <cp:revision>3</cp:revision>
  <cp:lastPrinted>2014-10-16T09:09:00Z</cp:lastPrinted>
  <dcterms:created xsi:type="dcterms:W3CDTF">2014-10-16T09:39:00Z</dcterms:created>
  <dcterms:modified xsi:type="dcterms:W3CDTF">2014-10-16T09:39:00Z</dcterms:modified>
</cp:coreProperties>
</file>